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5406" w14:textId="7C96147E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5A9391A7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F8D081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463C2F9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423BA9B1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647" w:type="dxa"/>
          </w:tcPr>
          <w:p w14:paraId="6A66A449" w14:textId="77777777" w:rsidR="003F3C44" w:rsidRPr="003F3C44" w:rsidRDefault="003F3C44" w:rsidP="003F3C44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eastAsia="ru-RU"/>
              </w:rPr>
            </w:pPr>
            <w:r w:rsidRPr="003F3C44">
              <w:rPr>
                <w:rFonts w:ascii="Times New Roman" w:hAnsi="Times New Roman" w:cs="Times New Roman"/>
              </w:rPr>
              <w:t xml:space="preserve">«Актуальные изменения в бухгалтерском учете в соответствии с МСФО» «Изменения в Налоговом кодексе РК» «МСФО (IFRS) 18: Подготовка к применению нового стандарта и ключевые изменения и их влияние на финансовую отчетность» </w:t>
            </w:r>
          </w:p>
          <w:p w14:paraId="21CD5FB0" w14:textId="15FFF3F2" w:rsidR="00715395" w:rsidRPr="009D1691" w:rsidRDefault="00715395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715395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715395" w:rsidRPr="009D1691" w:rsidRDefault="00715395" w:rsidP="007153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 w14:textId="77777777" w:rsidR="00715395" w:rsidRPr="009D1691" w:rsidRDefault="00715395" w:rsidP="007153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56BF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Актуальные изменения в МСФО</w:t>
            </w:r>
          </w:p>
          <w:p w14:paraId="47D1DA4B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Обзор ключевых изменений в стандартах МСФО, вступивших в силу в 2025 году.</w:t>
            </w:r>
          </w:p>
          <w:p w14:paraId="58B0414B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Влияние изменений на финансовую отчетность и бизнес-процессы.</w:t>
            </w:r>
          </w:p>
          <w:p w14:paraId="7CC5B01C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(IFRS) 9: Финансовые инструменты</w:t>
            </w:r>
          </w:p>
          <w:p w14:paraId="47022885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Обновления в классификации и оценке финансовых активов и обязательств.</w:t>
            </w:r>
          </w:p>
          <w:p w14:paraId="38D94405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Практические аспекты применения модели ожидаемых кредитных убытков (ECL).</w:t>
            </w:r>
          </w:p>
          <w:p w14:paraId="02133528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(IFRS) 15: Выручка по договорам с клиентами</w:t>
            </w:r>
          </w:p>
          <w:p w14:paraId="35EB01FE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Уточнения в пятиэтапной модели признания выручки.</w:t>
            </w:r>
          </w:p>
          <w:p w14:paraId="13B84B8A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Примеры применения стандарта в сложных договорных условиях.</w:t>
            </w:r>
          </w:p>
          <w:p w14:paraId="2036A495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(IFRS) 16: Аренда</w:t>
            </w:r>
          </w:p>
          <w:p w14:paraId="6B54AB7D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Изменения в учете аренды у арендатора и арендодателя.</w:t>
            </w:r>
          </w:p>
          <w:p w14:paraId="2A43BF91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Влияние новых поправок на финансовую отчетность.</w:t>
            </w:r>
          </w:p>
          <w:p w14:paraId="0418D98C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(IAS) 37: Оценочные обязательства, условные обязательства и условные активы</w:t>
            </w:r>
          </w:p>
          <w:p w14:paraId="485E885B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Обновления в признании и оценке оценочных обязательств.</w:t>
            </w:r>
          </w:p>
          <w:p w14:paraId="6DA1E33F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Практические примеры учета условных активов и обязательств.</w:t>
            </w:r>
          </w:p>
          <w:p w14:paraId="7697E012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(IFRS) 17: Договоры страхования</w:t>
            </w:r>
          </w:p>
          <w:p w14:paraId="3B7BF9DE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Основные изменения в учете договоров страхования.</w:t>
            </w:r>
          </w:p>
          <w:p w14:paraId="1E2D7FB5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Влияние стандарта на отчетность страховых компаний.</w:t>
            </w:r>
          </w:p>
          <w:p w14:paraId="52891639" w14:textId="77777777" w:rsidR="003F3C44" w:rsidRPr="007B27C7" w:rsidRDefault="003F3C44" w:rsidP="003F3C44">
            <w:pPr>
              <w:numPr>
                <w:ilvl w:val="0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МСФО (IAS) 8: Учетная политика, изменения в бухгалтерских оценках и ошибки</w:t>
            </w:r>
          </w:p>
          <w:p w14:paraId="70266FE1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Новые подходы к учетной политике и изменениям в оценках.</w:t>
            </w:r>
          </w:p>
          <w:p w14:paraId="0D9F0F84" w14:textId="77777777" w:rsidR="003F3C44" w:rsidRPr="007B27C7" w:rsidRDefault="003F3C44" w:rsidP="003F3C44">
            <w:pPr>
              <w:numPr>
                <w:ilvl w:val="1"/>
                <w:numId w:val="48"/>
              </w:numPr>
              <w:tabs>
                <w:tab w:val="num" w:pos="235"/>
                <w:tab w:val="left" w:pos="377"/>
              </w:tabs>
              <w:spacing w:after="0" w:line="240" w:lineRule="auto"/>
              <w:ind w:left="94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Практические аспекты исправления ошибок в отчетности.</w:t>
            </w:r>
          </w:p>
          <w:p w14:paraId="1647A033" w14:textId="77777777" w:rsidR="00715395" w:rsidRDefault="003F3C44" w:rsidP="003F3C44">
            <w:pPr>
              <w:tabs>
                <w:tab w:val="left" w:pos="377"/>
              </w:tabs>
              <w:spacing w:after="0" w:line="240" w:lineRule="auto"/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Проблемы учета отложенных налогов.</w:t>
            </w:r>
          </w:p>
          <w:p w14:paraId="54D992C0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Обзор изменений в Налоговом кодексе РК.</w:t>
            </w:r>
          </w:p>
          <w:p w14:paraId="39DFC1DE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Специальный налоговый режим.</w:t>
            </w:r>
          </w:p>
          <w:p w14:paraId="581D2DA0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Условия применения для самозанятых при использовании специального налогового режима. Виды деятельности, по которым могут работать физические лица как самозанятые в 2026 году. Ограничения. 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</w:p>
          <w:p w14:paraId="3C14053F" w14:textId="0392A922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lastRenderedPageBreak/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Условия применения СНР на основе упрощенной декларации в 2026 году. Виды деятельности, по которым запрещено применение СНР на основе упрощенной декларации в разрезе ОКЭД. Выписка ЭСФ. Сроки представить уведомление для перехода на СНР на основе упрощенной декларации.   </w:t>
            </w:r>
          </w:p>
          <w:p w14:paraId="6F05877B" w14:textId="26381636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Условия применения СНР для крестьянских или фермерских хозяйств 2026 году.</w:t>
            </w:r>
          </w:p>
          <w:p w14:paraId="422B7A09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ИПН и социальный налог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Изменения по ИПН и социальному налогу в Налоговом кодексе (основные изменения по объектам обложения, не доходам и уменьшениям доходов, налоговые вычеты, прогрессивная шкала ставок ИПН, исключение льгот и др.)</w:t>
            </w:r>
          </w:p>
          <w:p w14:paraId="18F58AF5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Прогрессивная шкала ИПН — для социальной справедливости.</w:t>
            </w:r>
          </w:p>
          <w:p w14:paraId="1EE08AC2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Порядок налогообложения дивидендов, выплачиваемых в 2026 году резиденту/нерезиденту.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</w:p>
          <w:p w14:paraId="2737FF55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Форма отчетности ИП по упрощенной декларации с наемными работниками</w:t>
            </w:r>
          </w:p>
          <w:p w14:paraId="2A4B24F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Прочие экономические выгоды, не являющиеся доходом физического лица</w:t>
            </w:r>
          </w:p>
          <w:p w14:paraId="1FD5DD5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Уменьшение дохода, подлежащего налогообложению – вместо корректировки доходов</w:t>
            </w:r>
          </w:p>
          <w:p w14:paraId="6A9922A0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Налоговые вычеты</w:t>
            </w:r>
          </w:p>
          <w:p w14:paraId="0FD25408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Ставки: 10 и 15%</w:t>
            </w:r>
          </w:p>
          <w:p w14:paraId="12EE6CB5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Социальный налог</w:t>
            </w:r>
          </w:p>
          <w:p w14:paraId="5FCD1F43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Всеобщее декларирование.</w:t>
            </w:r>
          </w:p>
          <w:p w14:paraId="5B35406E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НДС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Изменения по НДС в Налоговом кодексе 2026г (плательщики НДС, порог по НДС, облагаемый оборот, исключение льгот по НДС, дата совершения оборота, выписка счетов-фактур, порядок отнесения в зачет НДС и др.)</w:t>
            </w:r>
          </w:p>
          <w:p w14:paraId="24F595CD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приостановка выписки ЭСФ?</w:t>
            </w:r>
          </w:p>
          <w:p w14:paraId="7C80AB24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Условия снятия с регистрационного учета плательщика НДС</w:t>
            </w:r>
          </w:p>
          <w:p w14:paraId="0AC3F32F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Ставки НДС: 0, 5,10, 16 %. Особенности. </w:t>
            </w:r>
          </w:p>
          <w:p w14:paraId="1A54FCA3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Минимальный объект по НДС = 10 000 МРП</w:t>
            </w:r>
          </w:p>
          <w:p w14:paraId="496CB349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Автоматизированный контроль по НДС - авансовые платежи по НДС</w:t>
            </w:r>
          </w:p>
          <w:p w14:paraId="6A26C89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Отклонение ЭСФ дополнительной, исправленной ЭСФ или отзыв ЭСФ</w:t>
            </w:r>
          </w:p>
          <w:p w14:paraId="6CEA3739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Приказ Министра финансов РК от 28 октября 2025 года № 629 Об утверждении Правил выписки счета-фактуры и его формы</w:t>
            </w:r>
          </w:p>
          <w:p w14:paraId="705574E6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</w:p>
          <w:p w14:paraId="19728AAD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lastRenderedPageBreak/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КПН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Прозрачность и стимулирование инвестиций.  Изменения по КПН в новом Налоговом кодексе.  Дифференцированные ставки КПН: для банков и игорного бизнеса — 25 %, для образования, медицины, лизинга — 10 %, АПК — 3 % (ставки, социальная сфера, убытки, вычеты, банковский сектор, ставки, авансовые платежи, фиксированные активы, исключение льгот и др.)</w:t>
            </w:r>
          </w:p>
          <w:p w14:paraId="5A3ED0B5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Оптимизация налоговых льгот — отмена неэффективных, поддержка при новых проекта.</w:t>
            </w:r>
          </w:p>
          <w:p w14:paraId="36D9A2FF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Общая Часть:</w:t>
            </w:r>
          </w:p>
          <w:p w14:paraId="564ED20C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упрощение взаимодействия с налоговой с помощью мобильных приложений органов государственных доходов и банков: подача уведомления, выбор ОКЭД, открытие счета, выбор режима налогообложения, постановка на учет ККМ;</w:t>
            </w:r>
          </w:p>
          <w:p w14:paraId="28DD062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блокировка счетов при наличии налоговой задолженности будет производиться только в пределах суммы задолженности (не будет блокироваться вся сумма на счете).</w:t>
            </w:r>
          </w:p>
          <w:p w14:paraId="4241E04F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предоставление налоговых привилегий (освобождение от налоговых проверок, штрафов, минимизация пени, предварительные разъяснения по планируемым сделкам, досудебная согласительная комиссия, увеличение сроков рассрочки или отсрочки, упрощенный возврат НДС до 90%);</w:t>
            </w:r>
          </w:p>
          <w:p w14:paraId="7446FDE1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по налоговой задолженности до 1600 МРП будет предоставлена возможность получения рассрочки на 12 месяцев без залогового обеспечения.</w:t>
            </w:r>
          </w:p>
          <w:p w14:paraId="62869001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введение механизма ликвидации бездействующих налогоплательщиков без решения суда и упрощенная ликвидация налогоплательщика без проверки при оборотах менее 500 млн. тг.</w:t>
            </w:r>
          </w:p>
          <w:p w14:paraId="5F4F6C86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пересмотр подходов к категорированию по СУР в зависимости от вида деятельности (категорировать налогоплательщиков внутри одной отрасли и применять меры налогового администрирования дифференцированно внутри каждого риска);</w:t>
            </w:r>
          </w:p>
          <w:p w14:paraId="05033BAE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подготовка налоговыми органами проекта налоговой отчетности за налогоплательщика (микро, малый бизнес) на основе данных ККМ и POS-терминалов;</w:t>
            </w:r>
          </w:p>
          <w:p w14:paraId="6815445F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сокращение налоговой отчетности на 30% (отмена ряда расчетов и деклараций), в том числе отмена расчета текущих платежей по налогу на имущество и земельному налогу при сумме налоговых обязательств менее 1 млн. тг. и расчетов и деклараций по налогу на транспортные средства для субъектов бизнеса.    </w:t>
            </w:r>
          </w:p>
          <w:p w14:paraId="12ECD944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 реформирование спецрежимов и упразднение невостребованных спецрежимов.</w:t>
            </w:r>
          </w:p>
          <w:p w14:paraId="2357B6A2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Особенная Часть:</w:t>
            </w:r>
          </w:p>
          <w:p w14:paraId="77062FC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авансовые платежи по КПН, есть ли изменения;</w:t>
            </w:r>
          </w:p>
          <w:p w14:paraId="4363D7B5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виды доходов, включаемых в СГД с учетом изменений;</w:t>
            </w:r>
          </w:p>
          <w:p w14:paraId="685722AD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lastRenderedPageBreak/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виды вычетов, особенности их расчетов и включения в Декларацию по КПН. Новый подход;</w:t>
            </w:r>
          </w:p>
          <w:p w14:paraId="71DA4493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расходы, не идущие на вычеты, контроль со стороны налоговых органов;</w:t>
            </w:r>
          </w:p>
          <w:p w14:paraId="5D85B3A9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расчет налогооблагаемого дохода, уменьшение НОД - особенности;</w:t>
            </w:r>
          </w:p>
          <w:p w14:paraId="6D4A48C3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расчет КПН исчисленный и КПН к уплате в бюджет;</w:t>
            </w:r>
          </w:p>
          <w:p w14:paraId="55D65008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>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Капитальные расходы можно будет брать на вычеты и переносить на 10 лет.</w:t>
            </w:r>
          </w:p>
          <w:p w14:paraId="19C93207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Изменения ставок КПН Основная ставка КПН - остается 20%. Повышенные ставки: </w:t>
            </w:r>
          </w:p>
          <w:p w14:paraId="5690F854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Для банков и игорных заведений: до 25%. </w:t>
            </w:r>
          </w:p>
          <w:p w14:paraId="12939ACA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Для обрабатывающей промышленности: 10%. </w:t>
            </w:r>
          </w:p>
          <w:p w14:paraId="43A5FCEB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Для сельхозпроизводителей: 3%. </w:t>
            </w:r>
          </w:p>
          <w:p w14:paraId="51E48C6D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 xml:space="preserve">Инвестиционные ставки: остаются без изменений.  </w:t>
            </w:r>
          </w:p>
          <w:p w14:paraId="47EC0F42" w14:textId="77777777" w:rsidR="003F3C44" w:rsidRPr="007B27C7" w:rsidRDefault="003F3C44" w:rsidP="003F3C44">
            <w:pPr>
              <w:tabs>
                <w:tab w:val="left" w:pos="377"/>
              </w:tabs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000000" w:themeColor="text1"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Налоги на собственность</w:t>
            </w:r>
          </w:p>
          <w:p w14:paraId="0A2625A0" w14:textId="461232C4" w:rsidR="003F3C44" w:rsidRPr="009D1691" w:rsidRDefault="003F3C44" w:rsidP="003F3C44">
            <w:pPr>
              <w:tabs>
                <w:tab w:val="left" w:pos="377"/>
              </w:tabs>
              <w:spacing w:after="0" w:line="240" w:lineRule="auto"/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7B27C7">
              <w:rPr>
                <w:rFonts w:ascii="Times New Roman" w:hAnsi="Times New Roman"/>
                <w:bCs/>
                <w:color w:val="000000" w:themeColor="text1"/>
              </w:rPr>
              <w:t>•</w:t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</w:r>
            <w:r w:rsidRPr="007B27C7">
              <w:rPr>
                <w:rFonts w:ascii="Times New Roman" w:hAnsi="Times New Roman"/>
                <w:bCs/>
                <w:color w:val="000000" w:themeColor="text1"/>
              </w:rPr>
              <w:tab/>
              <w:t>Транспортный налог, земельный налог, налог на имущество. Особенности предоставление расчета 701.01 в 2026г.</w:t>
            </w:r>
          </w:p>
        </w:tc>
      </w:tr>
      <w:tr w:rsidR="008A5167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 w14:textId="7B5DA3DE" w:rsidR="008A5167" w:rsidRPr="009D1691" w:rsidRDefault="00312091" w:rsidP="008A516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Офлайн, 2</w:t>
            </w:r>
            <w:r w:rsidR="003F3C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8-30 октября 2026 года</w:t>
            </w:r>
            <w:r w:rsidR="003760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г. Астана</w:t>
            </w:r>
          </w:p>
        </w:tc>
      </w:tr>
      <w:tr w:rsidR="008A5167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 w14:textId="299EA073" w:rsidR="008A5167" w:rsidRPr="009D1691" w:rsidRDefault="00312091" w:rsidP="0031209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8A5167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акад.часов. </w:t>
            </w:r>
          </w:p>
        </w:tc>
      </w:tr>
      <w:tr w:rsidR="008A5167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 w14:textId="153227B4" w:rsidR="008A5167" w:rsidRPr="009D1691" w:rsidRDefault="00312091" w:rsidP="008A516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A5167" w:rsidRPr="009D16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человек</w:t>
            </w:r>
          </w:p>
        </w:tc>
      </w:tr>
      <w:tr w:rsidR="008A5167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 w14:textId="5D3024B2" w:rsidR="008A5167" w:rsidRPr="009D1691" w:rsidRDefault="008A5167" w:rsidP="006C450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</w:tc>
      </w:tr>
      <w:tr w:rsidR="008A5167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647" w:type="dxa"/>
          </w:tcPr>
          <w:p w14:paraId="2AEDE694" w14:textId="1E2DB790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D6953D8" w14:textId="36A3CE01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 w:rsidR="006C450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03B385A6" w14:textId="4B094358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Меморандума или Соглашений с аккредитованной профессиональной организации бухгалтеров;</w:t>
            </w:r>
          </w:p>
          <w:p w14:paraId="191AE888" w14:textId="77777777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9D16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385757DD" w14:textId="6EDA620A" w:rsidR="008A5167" w:rsidRPr="009D1691" w:rsidRDefault="008A5167" w:rsidP="008A5167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Приложить подтверждающий документ (копия свидетельство);</w:t>
            </w:r>
          </w:p>
          <w:p w14:paraId="79BF9E6D" w14:textId="69C0456B" w:rsidR="008A5167" w:rsidRDefault="008A5167" w:rsidP="008A5167">
            <w:pPr>
              <w:pStyle w:val="a3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3BE6B90B" w14:textId="77777777" w:rsidR="008A5167" w:rsidRPr="00C67BAA" w:rsidRDefault="008A5167" w:rsidP="008A5167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05B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B36BF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решением Координационного совета уполномоченного органа</w:t>
            </w:r>
            <w:r w:rsidRPr="000405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делам государственной службы (копию подтверждающего документа приложить)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F4E4772" w14:textId="627DD1B6" w:rsidR="008A5167" w:rsidRPr="009D1691" w:rsidRDefault="008A5167" w:rsidP="008A5167">
            <w:pPr>
              <w:pStyle w:val="a3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Подтвердить опыт проведения семинаров более 1</w:t>
            </w:r>
            <w:r w:rsidR="006C45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лет;</w:t>
            </w:r>
          </w:p>
          <w:p w14:paraId="6589E1AC" w14:textId="54B2585D" w:rsidR="008A5167" w:rsidRPr="009D1691" w:rsidRDefault="008A5167" w:rsidP="008A5167">
            <w:pPr>
              <w:pStyle w:val="a3"/>
              <w:numPr>
                <w:ilvl w:val="0"/>
                <w:numId w:val="45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Наличие сертификата бизнес-тренеров данного </w:t>
            </w: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семинара: </w:t>
            </w:r>
            <w:r w:rsidRPr="009D1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сертифицированный профессиональный бухгалтер, DipIFR ACCA (рус), САР, CIMA, Налоговый консультант РК 1 категорий, Практик-теоретик, член Консультативного органа МФ РК</w:t>
            </w:r>
          </w:p>
        </w:tc>
      </w:tr>
    </w:tbl>
    <w:p w14:paraId="576EC946" w14:textId="77777777" w:rsidR="00852A48" w:rsidRPr="009D1691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B29DEB3" w14:textId="253B543C" w:rsidR="00B36BFC" w:rsidRPr="009D1691" w:rsidRDefault="00B36BFC" w:rsidP="00B36BFC">
      <w:pPr>
        <w:pStyle w:val="aa"/>
        <w:ind w:left="360" w:right="107"/>
        <w:jc w:val="both"/>
        <w:rPr>
          <w:b/>
          <w:color w:val="000000"/>
          <w:lang w:eastAsia="ru-RU"/>
        </w:rPr>
      </w:pPr>
      <w:bookmarkStart w:id="0" w:name="_Hlk170892532"/>
      <w:r w:rsidRPr="009D1691">
        <w:rPr>
          <w:b/>
          <w:bCs/>
          <w:lang w:eastAsia="ru-RU"/>
        </w:rPr>
        <w:t>После вступления в силу договора по проведению семинара необходимо пре</w:t>
      </w:r>
      <w:r w:rsidR="006C4506">
        <w:rPr>
          <w:b/>
          <w:bCs/>
          <w:lang w:val="ru-RU" w:eastAsia="ru-RU"/>
        </w:rPr>
        <w:t xml:space="preserve">крепить на портале в разделе «Подтверждающие документы» </w:t>
      </w:r>
      <w:r w:rsidRPr="009D1691">
        <w:rPr>
          <w:b/>
          <w:bCs/>
          <w:lang w:eastAsia="ru-RU"/>
        </w:rPr>
        <w:t>сканированные копии всех подтверждающих документов</w:t>
      </w:r>
      <w:r w:rsidRPr="009D1691">
        <w:rPr>
          <w:b/>
          <w:color w:val="000000"/>
          <w:lang w:eastAsia="ru-RU"/>
        </w:rPr>
        <w:t>:</w:t>
      </w:r>
    </w:p>
    <w:p w14:paraId="705158DC" w14:textId="77777777" w:rsidR="00B36BFC" w:rsidRPr="009D1691" w:rsidRDefault="00B36BFC" w:rsidP="00B36BFC">
      <w:pPr>
        <w:pStyle w:val="aa"/>
        <w:ind w:left="360" w:right="107"/>
        <w:jc w:val="both"/>
        <w:rPr>
          <w:b/>
          <w:color w:val="000000"/>
          <w:lang w:eastAsia="ru-RU"/>
        </w:rPr>
      </w:pPr>
    </w:p>
    <w:p w14:paraId="7BCAD5F9" w14:textId="2E49DF39" w:rsidR="00B36BFC" w:rsidRPr="009D1691" w:rsidRDefault="00B36BFC" w:rsidP="00B36BFC">
      <w:pPr>
        <w:pStyle w:val="aa"/>
        <w:widowControl/>
        <w:numPr>
          <w:ilvl w:val="0"/>
          <w:numId w:val="26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 w:rsidRPr="009D1691">
        <w:rPr>
          <w:bCs/>
          <w:lang w:val="ru-RU"/>
        </w:rPr>
        <w:t>С</w:t>
      </w:r>
      <w:r w:rsidR="001B41E7" w:rsidRPr="009D1691">
        <w:rPr>
          <w:bCs/>
        </w:rPr>
        <w:t>свидетельство</w:t>
      </w:r>
      <w:r w:rsidRPr="009D1691">
        <w:rPr>
          <w:bCs/>
        </w:rPr>
        <w:t xml:space="preserve"> об аккредитации, выданное Комитетом внутреннего государственного аудита при Министерстве финансов РК</w:t>
      </w:r>
      <w:r w:rsidRPr="009D1691">
        <w:rPr>
          <w:color w:val="000000"/>
          <w:lang w:eastAsia="ru-RU"/>
        </w:rPr>
        <w:t>;</w:t>
      </w:r>
    </w:p>
    <w:p w14:paraId="2F7F9A95" w14:textId="77777777" w:rsidR="00B36BFC" w:rsidRPr="009D1691" w:rsidRDefault="00B36BFC" w:rsidP="00B36BFC">
      <w:pPr>
        <w:pStyle w:val="aa"/>
        <w:widowControl/>
        <w:numPr>
          <w:ilvl w:val="0"/>
          <w:numId w:val="26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 w:rsidRPr="009D1691">
        <w:rPr>
          <w:rFonts w:eastAsia="Calibri"/>
        </w:rPr>
        <w:t>Меморандум или Соглашение с аккредитованной ПОБ</w:t>
      </w:r>
    </w:p>
    <w:p w14:paraId="4D5A19F9" w14:textId="77777777" w:rsidR="00B36BFC" w:rsidRPr="009D1691" w:rsidRDefault="00B36BFC" w:rsidP="00B36BFC">
      <w:pPr>
        <w:pStyle w:val="aa"/>
        <w:widowControl/>
        <w:numPr>
          <w:ilvl w:val="0"/>
          <w:numId w:val="26"/>
        </w:numPr>
        <w:tabs>
          <w:tab w:val="left" w:pos="426"/>
        </w:tabs>
        <w:autoSpaceDE/>
        <w:autoSpaceDN/>
        <w:ind w:left="0" w:right="107" w:firstLine="0"/>
        <w:jc w:val="both"/>
      </w:pPr>
      <w:r w:rsidRPr="009D1691">
        <w:t>Наличие экзаменационной системы для проведения пробных и дистанционных экзаменов</w:t>
      </w:r>
    </w:p>
    <w:p w14:paraId="14A3491D" w14:textId="77777777" w:rsidR="00B36BFC" w:rsidRPr="009D1691" w:rsidRDefault="00B36BFC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</w:pPr>
      <w:r w:rsidRPr="009D1691">
        <w:rPr>
          <w:lang w:val="ru-RU"/>
        </w:rPr>
        <w:t xml:space="preserve">-  Сертификат </w:t>
      </w:r>
      <w:r w:rsidRPr="009D1691">
        <w:rPr>
          <w:b/>
        </w:rPr>
        <w:t>Институциональной аккредитации</w:t>
      </w:r>
      <w:r w:rsidRPr="009D1691">
        <w:t xml:space="preserve"> от аккредитационного органа</w:t>
      </w:r>
    </w:p>
    <w:p w14:paraId="33788B39" w14:textId="600B2243" w:rsidR="00B36BFC" w:rsidRPr="009D1691" w:rsidRDefault="00B36BFC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  <w:r w:rsidRPr="009D1691">
        <w:rPr>
          <w:lang w:val="ru-RU"/>
        </w:rPr>
        <w:t xml:space="preserve">-   Подтвердить опыт проведения семинаров более </w:t>
      </w:r>
      <w:r w:rsidR="00251992" w:rsidRPr="009D1691">
        <w:rPr>
          <w:b/>
          <w:lang w:val="ru-RU"/>
        </w:rPr>
        <w:t>1</w:t>
      </w:r>
      <w:r w:rsidR="006C4506">
        <w:rPr>
          <w:b/>
          <w:lang w:val="ru-RU"/>
        </w:rPr>
        <w:t>5</w:t>
      </w:r>
      <w:r w:rsidRPr="009D1691">
        <w:rPr>
          <w:b/>
          <w:lang w:val="ru-RU"/>
        </w:rPr>
        <w:t xml:space="preserve"> лет.</w:t>
      </w:r>
    </w:p>
    <w:bookmarkEnd w:id="0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14:paraId="3BE0C515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45C4E30" w14:textId="77777777" w:rsidR="00852A48" w:rsidRPr="009D169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4305D4F" w14:textId="77777777" w:rsidR="00852A48" w:rsidRPr="009D169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852A48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D978D" w14:textId="77777777" w:rsidR="00D03C28" w:rsidRDefault="00D03C28" w:rsidP="00A87164">
      <w:pPr>
        <w:spacing w:after="0" w:line="240" w:lineRule="auto"/>
      </w:pPr>
      <w:r>
        <w:separator/>
      </w:r>
    </w:p>
  </w:endnote>
  <w:endnote w:type="continuationSeparator" w:id="0">
    <w:p w14:paraId="38B3A8C1" w14:textId="77777777" w:rsidR="00D03C28" w:rsidRDefault="00D03C28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A367F" w14:textId="77777777" w:rsidR="00D03C28" w:rsidRDefault="00D03C28" w:rsidP="00A87164">
      <w:pPr>
        <w:spacing w:after="0" w:line="240" w:lineRule="auto"/>
      </w:pPr>
      <w:r>
        <w:separator/>
      </w:r>
    </w:p>
  </w:footnote>
  <w:footnote w:type="continuationSeparator" w:id="0">
    <w:p w14:paraId="1544D88B" w14:textId="77777777" w:rsidR="00D03C28" w:rsidRDefault="00D03C28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2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8" w:hanging="360"/>
      </w:pPr>
      <w:rPr>
        <w:rFonts w:ascii="Wingdings" w:hAnsi="Wingdings" w:hint="default"/>
      </w:rPr>
    </w:lvl>
  </w:abstractNum>
  <w:abstractNum w:abstractNumId="1" w15:restartNumberingAfterBreak="0">
    <w:nsid w:val="0490253B"/>
    <w:multiLevelType w:val="hybridMultilevel"/>
    <w:tmpl w:val="90DA5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462A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5D0B04"/>
    <w:multiLevelType w:val="hybridMultilevel"/>
    <w:tmpl w:val="70E811AE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4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E58D8"/>
    <w:multiLevelType w:val="multilevel"/>
    <w:tmpl w:val="2BC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627582"/>
    <w:multiLevelType w:val="hybridMultilevel"/>
    <w:tmpl w:val="B3E0500C"/>
    <w:lvl w:ilvl="0" w:tplc="C528016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10E92"/>
    <w:multiLevelType w:val="multilevel"/>
    <w:tmpl w:val="423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0D0A5E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A6764"/>
    <w:multiLevelType w:val="multilevel"/>
    <w:tmpl w:val="128863D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780" w:hanging="720"/>
      </w:pPr>
    </w:lvl>
    <w:lvl w:ilvl="3">
      <w:start w:val="1"/>
      <w:numFmt w:val="decimal"/>
      <w:isLgl/>
      <w:lvlText w:val="%1.%2.%3.%4"/>
      <w:lvlJc w:val="left"/>
      <w:pPr>
        <w:ind w:left="780" w:hanging="720"/>
      </w:pPr>
    </w:lvl>
    <w:lvl w:ilvl="4">
      <w:start w:val="1"/>
      <w:numFmt w:val="decimal"/>
      <w:isLgl/>
      <w:lvlText w:val="%1.%2.%3.%4.%5"/>
      <w:lvlJc w:val="left"/>
      <w:pPr>
        <w:ind w:left="1140" w:hanging="1080"/>
      </w:pPr>
    </w:lvl>
    <w:lvl w:ilvl="5">
      <w:start w:val="1"/>
      <w:numFmt w:val="decimal"/>
      <w:isLgl/>
      <w:lvlText w:val="%1.%2.%3.%4.%5.%6"/>
      <w:lvlJc w:val="left"/>
      <w:pPr>
        <w:ind w:left="1140" w:hanging="1080"/>
      </w:pPr>
    </w:lvl>
    <w:lvl w:ilvl="6">
      <w:start w:val="1"/>
      <w:numFmt w:val="decimal"/>
      <w:isLgl/>
      <w:lvlText w:val="%1.%2.%3.%4.%5.%6.%7"/>
      <w:lvlJc w:val="left"/>
      <w:pPr>
        <w:ind w:left="1500" w:hanging="1440"/>
      </w:p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</w:lvl>
  </w:abstractNum>
  <w:abstractNum w:abstractNumId="12" w15:restartNumberingAfterBreak="0">
    <w:nsid w:val="1D54476C"/>
    <w:multiLevelType w:val="hybridMultilevel"/>
    <w:tmpl w:val="8904D6B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FA7255"/>
    <w:multiLevelType w:val="hybridMultilevel"/>
    <w:tmpl w:val="BD340582"/>
    <w:lvl w:ilvl="0" w:tplc="99E4407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21905544"/>
    <w:multiLevelType w:val="hybridMultilevel"/>
    <w:tmpl w:val="B38460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962E5"/>
    <w:multiLevelType w:val="hybridMultilevel"/>
    <w:tmpl w:val="6C42C30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25795F2F"/>
    <w:multiLevelType w:val="hybridMultilevel"/>
    <w:tmpl w:val="A41E9CB4"/>
    <w:lvl w:ilvl="0" w:tplc="0419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8" w15:restartNumberingAfterBreak="0">
    <w:nsid w:val="27C44DC6"/>
    <w:multiLevelType w:val="hybridMultilevel"/>
    <w:tmpl w:val="F64EA4D0"/>
    <w:lvl w:ilvl="0" w:tplc="0E761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7178E"/>
    <w:multiLevelType w:val="hybridMultilevel"/>
    <w:tmpl w:val="9BA492F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0C81E5D"/>
    <w:multiLevelType w:val="hybridMultilevel"/>
    <w:tmpl w:val="23D2ACF0"/>
    <w:lvl w:ilvl="0" w:tplc="041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2" w15:restartNumberingAfterBreak="0">
    <w:nsid w:val="350F3DB5"/>
    <w:multiLevelType w:val="multilevel"/>
    <w:tmpl w:val="233C420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1143E1"/>
    <w:multiLevelType w:val="hybridMultilevel"/>
    <w:tmpl w:val="BCB27E88"/>
    <w:lvl w:ilvl="0" w:tplc="14E4DBCC">
      <w:start w:val="11"/>
      <w:numFmt w:val="bullet"/>
      <w:lvlText w:val=""/>
      <w:lvlJc w:val="left"/>
      <w:pPr>
        <w:ind w:left="63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25" w15:restartNumberingAfterBreak="0">
    <w:nsid w:val="395E011A"/>
    <w:multiLevelType w:val="hybridMultilevel"/>
    <w:tmpl w:val="C802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9E0F9B"/>
    <w:multiLevelType w:val="multilevel"/>
    <w:tmpl w:val="B3F8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D13654"/>
    <w:multiLevelType w:val="hybridMultilevel"/>
    <w:tmpl w:val="F70041D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47D905AE"/>
    <w:multiLevelType w:val="hybridMultilevel"/>
    <w:tmpl w:val="2B5A6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27674A"/>
    <w:multiLevelType w:val="hybridMultilevel"/>
    <w:tmpl w:val="DA6C1F6C"/>
    <w:lvl w:ilvl="0" w:tplc="B67A13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427E17"/>
    <w:multiLevelType w:val="hybridMultilevel"/>
    <w:tmpl w:val="2BF021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BC2DF1"/>
    <w:multiLevelType w:val="hybridMultilevel"/>
    <w:tmpl w:val="6FA23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2254B7"/>
    <w:multiLevelType w:val="hybridMultilevel"/>
    <w:tmpl w:val="84D09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3C137C"/>
    <w:multiLevelType w:val="multilevel"/>
    <w:tmpl w:val="3E5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762BA5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BA81F89"/>
    <w:multiLevelType w:val="hybridMultilevel"/>
    <w:tmpl w:val="19EE3468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5"/>
  </w:num>
  <w:num w:numId="3">
    <w:abstractNumId w:val="27"/>
  </w:num>
  <w:num w:numId="4">
    <w:abstractNumId w:val="15"/>
  </w:num>
  <w:num w:numId="5">
    <w:abstractNumId w:val="33"/>
  </w:num>
  <w:num w:numId="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2"/>
  </w:num>
  <w:num w:numId="8">
    <w:abstractNumId w:val="19"/>
  </w:num>
  <w:num w:numId="9">
    <w:abstractNumId w:val="37"/>
  </w:num>
  <w:num w:numId="10">
    <w:abstractNumId w:val="39"/>
  </w:num>
  <w:num w:numId="11">
    <w:abstractNumId w:val="32"/>
  </w:num>
  <w:num w:numId="12">
    <w:abstractNumId w:val="0"/>
  </w:num>
  <w:num w:numId="13">
    <w:abstractNumId w:val="10"/>
  </w:num>
  <w:num w:numId="14">
    <w:abstractNumId w:val="19"/>
  </w:num>
  <w:num w:numId="15">
    <w:abstractNumId w:val="17"/>
  </w:num>
  <w:num w:numId="16">
    <w:abstractNumId w:val="18"/>
  </w:num>
  <w:num w:numId="17">
    <w:abstractNumId w:val="35"/>
  </w:num>
  <w:num w:numId="18">
    <w:abstractNumId w:val="36"/>
  </w:num>
  <w:num w:numId="19">
    <w:abstractNumId w:val="5"/>
  </w:num>
  <w:num w:numId="20">
    <w:abstractNumId w:val="3"/>
  </w:num>
  <w:num w:numId="21">
    <w:abstractNumId w:val="25"/>
  </w:num>
  <w:num w:numId="22">
    <w:abstractNumId w:val="40"/>
  </w:num>
  <w:num w:numId="23">
    <w:abstractNumId w:val="6"/>
  </w:num>
  <w:num w:numId="24">
    <w:abstractNumId w:val="8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"/>
  </w:num>
  <w:num w:numId="28">
    <w:abstractNumId w:val="24"/>
  </w:num>
  <w:num w:numId="29">
    <w:abstractNumId w:val="3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6"/>
  </w:num>
  <w:num w:numId="33">
    <w:abstractNumId w:val="14"/>
  </w:num>
  <w:num w:numId="34">
    <w:abstractNumId w:val="12"/>
  </w:num>
  <w:num w:numId="35">
    <w:abstractNumId w:val="13"/>
  </w:num>
  <w:num w:numId="36">
    <w:abstractNumId w:val="16"/>
  </w:num>
  <w:num w:numId="37">
    <w:abstractNumId w:val="43"/>
  </w:num>
  <w:num w:numId="3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</w:num>
  <w:num w:numId="40">
    <w:abstractNumId w:val="44"/>
  </w:num>
  <w:num w:numId="41">
    <w:abstractNumId w:val="29"/>
  </w:num>
  <w:num w:numId="42">
    <w:abstractNumId w:val="20"/>
  </w:num>
  <w:num w:numId="43">
    <w:abstractNumId w:val="31"/>
  </w:num>
  <w:num w:numId="44">
    <w:abstractNumId w:val="7"/>
  </w:num>
  <w:num w:numId="45">
    <w:abstractNumId w:val="38"/>
  </w:num>
  <w:num w:numId="46">
    <w:abstractNumId w:val="34"/>
  </w:num>
  <w:num w:numId="47">
    <w:abstractNumId w:val="41"/>
  </w:num>
  <w:num w:numId="4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1227BC"/>
    <w:rsid w:val="001238A4"/>
    <w:rsid w:val="00141EA5"/>
    <w:rsid w:val="00145B79"/>
    <w:rsid w:val="00167BA9"/>
    <w:rsid w:val="001B41E7"/>
    <w:rsid w:val="001F54C5"/>
    <w:rsid w:val="002141B5"/>
    <w:rsid w:val="00232F89"/>
    <w:rsid w:val="00250022"/>
    <w:rsid w:val="00251992"/>
    <w:rsid w:val="00265158"/>
    <w:rsid w:val="002807B8"/>
    <w:rsid w:val="002E0772"/>
    <w:rsid w:val="00301F99"/>
    <w:rsid w:val="00312091"/>
    <w:rsid w:val="003129CC"/>
    <w:rsid w:val="00337361"/>
    <w:rsid w:val="003611EA"/>
    <w:rsid w:val="00364D1A"/>
    <w:rsid w:val="0037568F"/>
    <w:rsid w:val="003760AB"/>
    <w:rsid w:val="00384BEA"/>
    <w:rsid w:val="00390D57"/>
    <w:rsid w:val="003A2DF4"/>
    <w:rsid w:val="003C5D92"/>
    <w:rsid w:val="003D6733"/>
    <w:rsid w:val="003F2591"/>
    <w:rsid w:val="003F3C44"/>
    <w:rsid w:val="003F5EF7"/>
    <w:rsid w:val="00427EBA"/>
    <w:rsid w:val="004332FA"/>
    <w:rsid w:val="00434799"/>
    <w:rsid w:val="004450FE"/>
    <w:rsid w:val="00474C9E"/>
    <w:rsid w:val="004A1E6C"/>
    <w:rsid w:val="004A5DD8"/>
    <w:rsid w:val="004C1B5E"/>
    <w:rsid w:val="004C381D"/>
    <w:rsid w:val="004D4DCF"/>
    <w:rsid w:val="004F4517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F4D85"/>
    <w:rsid w:val="00711492"/>
    <w:rsid w:val="00715395"/>
    <w:rsid w:val="00736A0B"/>
    <w:rsid w:val="00752C49"/>
    <w:rsid w:val="007626C9"/>
    <w:rsid w:val="007810DE"/>
    <w:rsid w:val="00794029"/>
    <w:rsid w:val="007A247B"/>
    <w:rsid w:val="007A4E93"/>
    <w:rsid w:val="007C5D3D"/>
    <w:rsid w:val="007E11BC"/>
    <w:rsid w:val="007E3ED7"/>
    <w:rsid w:val="007E6514"/>
    <w:rsid w:val="007F661D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510B"/>
    <w:rsid w:val="00A55752"/>
    <w:rsid w:val="00A8417E"/>
    <w:rsid w:val="00A87164"/>
    <w:rsid w:val="00AA0469"/>
    <w:rsid w:val="00AA113A"/>
    <w:rsid w:val="00AB5FEF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21E8"/>
    <w:rsid w:val="00BB5C66"/>
    <w:rsid w:val="00BC05A8"/>
    <w:rsid w:val="00BD00CD"/>
    <w:rsid w:val="00BE0C25"/>
    <w:rsid w:val="00BF1159"/>
    <w:rsid w:val="00BF2311"/>
    <w:rsid w:val="00BF54C7"/>
    <w:rsid w:val="00C146E3"/>
    <w:rsid w:val="00C31EAE"/>
    <w:rsid w:val="00C67BAA"/>
    <w:rsid w:val="00C725CC"/>
    <w:rsid w:val="00CB262B"/>
    <w:rsid w:val="00CC0F16"/>
    <w:rsid w:val="00CD3B4B"/>
    <w:rsid w:val="00CD5C65"/>
    <w:rsid w:val="00D03C28"/>
    <w:rsid w:val="00D03EA5"/>
    <w:rsid w:val="00D31710"/>
    <w:rsid w:val="00D37CB8"/>
    <w:rsid w:val="00D50660"/>
    <w:rsid w:val="00DA218A"/>
    <w:rsid w:val="00DC078F"/>
    <w:rsid w:val="00DC1AFC"/>
    <w:rsid w:val="00DD7398"/>
    <w:rsid w:val="00E24B54"/>
    <w:rsid w:val="00E35AFD"/>
    <w:rsid w:val="00E7187A"/>
    <w:rsid w:val="00E84FDC"/>
    <w:rsid w:val="00E92F55"/>
    <w:rsid w:val="00ED1CE1"/>
    <w:rsid w:val="00EF69A4"/>
    <w:rsid w:val="00F37857"/>
    <w:rsid w:val="00F4095E"/>
    <w:rsid w:val="00F50CBB"/>
    <w:rsid w:val="00F531EC"/>
    <w:rsid w:val="00F53464"/>
    <w:rsid w:val="00F7612B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CE257-F3BC-4385-855C-A4FE6B8B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1385</Words>
  <Characters>7901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Алия</cp:lastModifiedBy>
  <cp:revision>6</cp:revision>
  <cp:lastPrinted>2024-07-03T04:45:00Z</cp:lastPrinted>
  <dcterms:created xsi:type="dcterms:W3CDTF">2026-01-16T11:21:00Z</dcterms:created>
  <dcterms:modified xsi:type="dcterms:W3CDTF">2026-09-16T06:39:00Z</dcterms:modified>
</cp:coreProperties>
</file>