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6AF58A">
      <w:pPr>
        <w:spacing w:after="40"/>
        <w:jc w:val="center"/>
      </w:pPr>
      <w:r>
        <w:rPr>
          <w:rFonts w:ascii="Times New Roman" w:hAnsi="Times New Roman" w:eastAsia="Times New Roman" w:cs="Times New Roman"/>
          <w:b/>
          <w:bCs/>
          <w:color w:val="1F4E79"/>
          <w:sz w:val="32"/>
          <w:szCs w:val="32"/>
        </w:rPr>
        <w:t>ТЕХНИКАЛЫҚ СИПАТТАМА</w:t>
      </w:r>
    </w:p>
    <w:p w14:paraId="04D984B7">
      <w:pPr>
        <w:spacing w:after="40"/>
        <w:jc w:val="center"/>
      </w:pPr>
      <w:r>
        <w:rPr>
          <w:rFonts w:ascii="Times New Roman" w:hAnsi="Times New Roman" w:eastAsia="Times New Roman" w:cs="Times New Roman"/>
          <w:b/>
          <w:bCs/>
          <w:color w:val="2E75B6"/>
          <w:sz w:val="18"/>
          <w:szCs w:val="18"/>
        </w:rPr>
        <w:t>TECHNICAL SPECIFICATION / ТЕХНИЧЕСКАЯ СПЕЦИФИКАЦИЯ</w:t>
      </w:r>
    </w:p>
    <w:p w14:paraId="54FB0FBD">
      <w:pPr>
        <w:spacing w:after="60"/>
        <w:jc w:val="center"/>
      </w:pPr>
      <w:r>
        <w:rPr>
          <w:rFonts w:ascii="Times New Roman" w:hAnsi="Times New Roman" w:eastAsia="Times New Roman" w:cs="Times New Roman"/>
          <w:sz w:val="18"/>
          <w:szCs w:val="18"/>
        </w:rPr>
        <w:t>Дизельді генераторды орнату, іске қосу, АВР орнату, электр желісіне қосу, бетон негіз және қоршау жасау бойынша жұмыстарға</w:t>
      </w:r>
    </w:p>
    <w:p w14:paraId="758489FC">
      <w:pPr>
        <w:spacing w:after="60"/>
        <w:jc w:val="center"/>
      </w:pPr>
      <w:r>
        <w:rPr>
          <w:rFonts w:ascii="Times New Roman" w:hAnsi="Times New Roman" w:eastAsia="Times New Roman" w:cs="Times New Roman"/>
          <w:i/>
          <w:iCs/>
          <w:color w:val="444444"/>
          <w:sz w:val="16"/>
          <w:szCs w:val="16"/>
        </w:rPr>
        <w:t>на работы по установке, запуску дизельного генератора, монтажу АВР, подключению к электросети, устройству бетонного основания и ограждения</w:t>
      </w:r>
    </w:p>
    <w:p w14:paraId="4FF9268D">
      <w:pPr>
        <w:spacing w:after="40"/>
        <w:jc w:val="center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Әуезов атындағы мектеп (Шаян ауылы)</w:t>
      </w:r>
    </w:p>
    <w:p w14:paraId="4FF46D0D">
      <w:pPr>
        <w:pBdr>
          <w:bottom w:val="single" w:color="1F4E79" w:sz="10" w:space="4"/>
        </w:pBdr>
        <w:spacing w:after="120"/>
        <w:jc w:val="center"/>
      </w:pPr>
      <w:r>
        <w:rPr>
          <w:rFonts w:ascii="Times New Roman" w:hAnsi="Times New Roman" w:eastAsia="Times New Roman" w:cs="Times New Roman"/>
          <w:b/>
          <w:bCs/>
          <w:color w:val="444444"/>
          <w:sz w:val="18"/>
          <w:szCs w:val="18"/>
        </w:rPr>
        <w:t>Школа им. Ауэзова (с. Шаян)</w:t>
      </w:r>
    </w:p>
    <w:p w14:paraId="51A2AB05">
      <w:pPr>
        <w:spacing w:before="0" w:after="120"/>
        <w:jc w:val="center"/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17"/>
          <w:szCs w:val="17"/>
        </w:rPr>
        <w:t>Тапсырыс беруші / Заказчик: Түркістан облысы Бәйдібек ауданы білім бөлімі / Отдел образования Байдибекского района Туркестанской области</w:t>
      </w:r>
    </w:p>
    <w:p w14:paraId="629C04EE">
      <w:pPr>
        <w:pStyle w:val="2"/>
      </w:pPr>
      <w:r>
        <w:t>1. Жалпы мәліметтер / Общие сведения</w:t>
      </w:r>
    </w:p>
    <w:p w14:paraId="6ABCCBD5">
      <w:pPr>
        <w:spacing w:before="0" w:after="80"/>
      </w:pPr>
      <w:r>
        <w:rPr>
          <w:rFonts w:ascii="Times New Roman" w:hAnsi="Times New Roman" w:eastAsia="Times New Roman" w:cs="Times New Roman"/>
          <w:sz w:val="20"/>
          <w:szCs w:val="20"/>
        </w:rPr>
        <w:t>Мекенжайы: Түркістан облысы, Бәйдібек ауданы, Шаян ауылы, Әуезов көшесі, 9</w:t>
      </w:r>
      <w:r>
        <w:rPr>
          <w:rFonts w:ascii="Times New Roman" w:hAnsi="Times New Roman" w:eastAsia="Times New Roman" w:cs="Times New Roman"/>
          <w:color w:val="666666"/>
          <w:sz w:val="18"/>
          <w:szCs w:val="18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8"/>
          <w:szCs w:val="18"/>
        </w:rPr>
        <w:t>Адрес: Туркестанская область, Байдибекский район, с. Шаян, ул. Ауэзова, 9</w:t>
      </w:r>
    </w:p>
    <w:p w14:paraId="5568DBF3">
      <w:pPr>
        <w:spacing w:before="0" w:after="80"/>
      </w:pPr>
      <w:r>
        <w:rPr>
          <w:rFonts w:ascii="Times New Roman" w:hAnsi="Times New Roman" w:eastAsia="Times New Roman" w:cs="Times New Roman"/>
          <w:sz w:val="20"/>
          <w:szCs w:val="20"/>
        </w:rPr>
        <w:t>Байланыс: Айжан, тел. 7 701 452 6473</w:t>
      </w:r>
      <w:r>
        <w:rPr>
          <w:rFonts w:ascii="Times New Roman" w:hAnsi="Times New Roman" w:eastAsia="Times New Roman" w:cs="Times New Roman"/>
          <w:color w:val="666666"/>
          <w:sz w:val="18"/>
          <w:szCs w:val="18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8"/>
          <w:szCs w:val="18"/>
        </w:rPr>
        <w:t>Контакт: Айжан, тел. 7 701 452 6473</w:t>
      </w:r>
    </w:p>
    <w:p w14:paraId="3C2DAA71">
      <w:pPr>
        <w:spacing w:before="0" w:after="80"/>
      </w:pPr>
      <w:r>
        <w:rPr>
          <w:rFonts w:ascii="Times New Roman" w:hAnsi="Times New Roman" w:eastAsia="Times New Roman" w:cs="Times New Roman"/>
          <w:sz w:val="20"/>
          <w:szCs w:val="20"/>
        </w:rPr>
        <w:t>Жұмыс түрі: Дизельді генераторды орнату, іске қосу, АВР жеткізу және орнату, электр желісіне толық қосу, бетон негіз, металл қоршау.</w:t>
      </w:r>
      <w:r>
        <w:rPr>
          <w:rFonts w:ascii="Times New Roman" w:hAnsi="Times New Roman" w:eastAsia="Times New Roman" w:cs="Times New Roman"/>
          <w:color w:val="666666"/>
          <w:sz w:val="18"/>
          <w:szCs w:val="18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8"/>
          <w:szCs w:val="18"/>
        </w:rPr>
        <w:t>Вид работ: Установка и запуск дизельного генератора, поставка и монтаж АВР, полное подключение к электросети, бетонное основание, металлическое ограждение.</w:t>
      </w:r>
    </w:p>
    <w:p w14:paraId="507ECA8B">
      <w:pPr>
        <w:spacing w:before="0" w:after="80"/>
        <w:rPr>
          <w:b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Ескерту: Генератор жаңа</w:t>
      </w:r>
      <w:r>
        <w:rPr>
          <w:rFonts w:cs="Times New Roman"/>
          <w:b/>
          <w:bCs/>
          <w:sz w:val="32"/>
          <w:szCs w:val="32"/>
          <w:lang w:val="ru-RU"/>
        </w:rPr>
        <w:t>сын</w:t>
      </w:r>
      <w:r>
        <w:rPr>
          <w:rFonts w:hint="default" w:cs="Times New Roman"/>
          <w:b/>
          <w:bCs/>
          <w:sz w:val="32"/>
          <w:szCs w:val="32"/>
          <w:lang w:val="ru-RU"/>
        </w:rPr>
        <w:t xml:space="preserve"> алып келу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орнат</w:t>
      </w:r>
      <w:r>
        <w:rPr>
          <w:rFonts w:cs="Times New Roman"/>
          <w:b/>
          <w:bCs/>
          <w:sz w:val="32"/>
          <w:szCs w:val="32"/>
          <w:lang w:val="ru-RU"/>
        </w:rPr>
        <w:t>у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, электр желісіне қос</w:t>
      </w:r>
      <w:r>
        <w:rPr>
          <w:rFonts w:cs="Times New Roman"/>
          <w:b/>
          <w:bCs/>
          <w:sz w:val="32"/>
          <w:szCs w:val="32"/>
          <w:lang w:val="ru-RU"/>
        </w:rPr>
        <w:t>у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. АВР жоқ — Орындаушы орнатады.</w:t>
      </w:r>
      <w:r>
        <w:rPr>
          <w:rFonts w:ascii="Times New Roman" w:hAnsi="Times New Roman" w:eastAsia="Times New Roman" w:cs="Times New Roman"/>
          <w:b/>
          <w:bCs/>
          <w:color w:val="666666"/>
          <w:sz w:val="32"/>
          <w:szCs w:val="32"/>
        </w:rPr>
        <w:t xml:space="preserve"> / </w:t>
      </w:r>
      <w:r>
        <w:rPr>
          <w:rFonts w:ascii="Times New Roman" w:hAnsi="Times New Roman" w:eastAsia="Times New Roman" w:cs="Times New Roman"/>
          <w:b/>
          <w:bCs/>
          <w:i/>
          <w:iCs/>
          <w:color w:val="444444"/>
          <w:sz w:val="32"/>
          <w:szCs w:val="32"/>
        </w:rPr>
        <w:t>Примечание: Генератор</w:t>
      </w:r>
      <w:r>
        <w:rPr>
          <w:rFonts w:hint="default" w:cs="Times New Roman"/>
          <w:b/>
          <w:bCs/>
          <w:i/>
          <w:iCs/>
          <w:color w:val="444444"/>
          <w:sz w:val="32"/>
          <w:szCs w:val="32"/>
          <w:lang w:val="ru-RU"/>
        </w:rPr>
        <w:t xml:space="preserve"> должен быть </w:t>
      </w:r>
      <w:r>
        <w:rPr>
          <w:rFonts w:ascii="Times New Roman" w:hAnsi="Times New Roman" w:eastAsia="Times New Roman" w:cs="Times New Roman"/>
          <w:b/>
          <w:bCs/>
          <w:i/>
          <w:iCs/>
          <w:color w:val="444444"/>
          <w:sz w:val="32"/>
          <w:szCs w:val="32"/>
        </w:rPr>
        <w:t xml:space="preserve"> новый, установ</w:t>
      </w:r>
      <w:r>
        <w:rPr>
          <w:rFonts w:cs="Times New Roman"/>
          <w:b/>
          <w:bCs/>
          <w:i/>
          <w:iCs/>
          <w:color w:val="444444"/>
          <w:sz w:val="32"/>
          <w:szCs w:val="32"/>
          <w:lang w:val="ru-RU"/>
        </w:rPr>
        <w:t>ит</w:t>
      </w:r>
      <w:r>
        <w:rPr>
          <w:rFonts w:ascii="Times New Roman" w:hAnsi="Times New Roman" w:eastAsia="Times New Roman" w:cs="Times New Roman"/>
          <w:b/>
          <w:bCs/>
          <w:i/>
          <w:iCs/>
          <w:color w:val="444444"/>
          <w:sz w:val="32"/>
          <w:szCs w:val="32"/>
        </w:rPr>
        <w:t>,  подключ</w:t>
      </w:r>
      <w:r>
        <w:rPr>
          <w:rFonts w:cs="Times New Roman"/>
          <w:b/>
          <w:bCs/>
          <w:i/>
          <w:iCs/>
          <w:color w:val="444444"/>
          <w:sz w:val="32"/>
          <w:szCs w:val="32"/>
          <w:lang w:val="ru-RU"/>
        </w:rPr>
        <w:t>ить</w:t>
      </w:r>
      <w:r>
        <w:rPr>
          <w:rFonts w:hint="default" w:cs="Times New Roman"/>
          <w:b/>
          <w:bCs/>
          <w:i/>
          <w:iCs/>
          <w:color w:val="444444"/>
          <w:sz w:val="32"/>
          <w:szCs w:val="32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color w:val="444444"/>
          <w:sz w:val="32"/>
          <w:szCs w:val="32"/>
        </w:rPr>
        <w:t>. АВР отсутствует — устанавливается Исполнителем.</w:t>
      </w:r>
    </w:p>
    <w:p w14:paraId="15C048B4">
      <w:pPr>
        <w:pStyle w:val="2"/>
      </w:pPr>
      <w:r>
        <w:t>2. Жабдық сипаттамасы / Характеристики оборудования</w:t>
      </w:r>
    </w:p>
    <w:tbl>
      <w:tblPr>
        <w:tblStyle w:val="9"/>
        <w:tblW w:w="100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504"/>
        <w:gridCol w:w="5562"/>
      </w:tblGrid>
      <w:tr w14:paraId="4D934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F4E7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B35587"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color w:val="FFFFFF"/>
                <w:sz w:val="16"/>
                <w:szCs w:val="16"/>
              </w:rPr>
              <w:t>Көрсеткіш / Показатель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F4E7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7CD5F2"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color w:val="FFFFFF"/>
                <w:sz w:val="16"/>
                <w:szCs w:val="16"/>
              </w:rPr>
              <w:t>Мәні / Значение</w:t>
            </w:r>
          </w:p>
        </w:tc>
      </w:tr>
      <w:tr w14:paraId="6A970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95D105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Құрылғы түрі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D4466B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Дизельді генератор</w:t>
            </w:r>
          </w:p>
        </w:tc>
      </w:tr>
      <w:tr w14:paraId="25916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193AE6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Модель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9FB13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GS165R</w:t>
            </w:r>
          </w:p>
        </w:tc>
      </w:tr>
      <w:tr w14:paraId="7AC4D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58BDD6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Номинал қуаты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571A7F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30 кВА / 24 кВт</w:t>
            </w:r>
          </w:p>
        </w:tc>
      </w:tr>
      <w:tr w14:paraId="528F8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343C65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Өнім класы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5019EC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Кәсіби, ашық</w:t>
            </w:r>
          </w:p>
        </w:tc>
      </w:tr>
      <w:tr w14:paraId="1B4DC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A98385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Қуат коэффициенті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60373D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0,8</w:t>
            </w:r>
          </w:p>
        </w:tc>
      </w:tr>
      <w:tr w14:paraId="417B6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2619A4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Фазалар саны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A1ED31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3</w:t>
            </w:r>
          </w:p>
        </w:tc>
      </w:tr>
      <w:tr w14:paraId="6EB1C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3E55B5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Кернеу, В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3AAE1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400</w:t>
            </w:r>
          </w:p>
        </w:tc>
      </w:tr>
      <w:tr w14:paraId="3C2CF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2EE5FA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Жиілік, Гц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B719A4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50–60</w:t>
            </w:r>
          </w:p>
        </w:tc>
      </w:tr>
      <w:tr w14:paraId="4A5C9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AFC269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Номиналды ток, А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F9E3D2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90</w:t>
            </w:r>
          </w:p>
        </w:tc>
      </w:tr>
      <w:tr w14:paraId="13C0D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7FACA4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Басқару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E1A56E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Электрондық</w:t>
            </w:r>
          </w:p>
        </w:tc>
      </w:tr>
      <w:tr w14:paraId="1307B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084A05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Отын түрі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6232CE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Дизель</w:t>
            </w:r>
          </w:p>
        </w:tc>
      </w:tr>
      <w:tr w14:paraId="0CF7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4B3323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Номиналды айн/мин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95B6C6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1500</w:t>
            </w:r>
          </w:p>
        </w:tc>
      </w:tr>
      <w:tr w14:paraId="25933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189BC3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Отын шығыны, л/сағ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3DA721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6</w:t>
            </w:r>
          </w:p>
        </w:tc>
      </w:tr>
      <w:tr w14:paraId="4DA34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C33910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Қозғалтқыш тактілері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CB2716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4</w:t>
            </w:r>
          </w:p>
        </w:tc>
      </w:tr>
      <w:tr w14:paraId="6E962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651C36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Генератор түрі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0BE00A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Синхронды</w:t>
            </w:r>
          </w:p>
        </w:tc>
      </w:tr>
      <w:tr w14:paraId="3465D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4DB38E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Салқындату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FD83A2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Су</w:t>
            </w:r>
          </w:p>
        </w:tc>
      </w:tr>
      <w:tr w14:paraId="5546C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D438F9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Май жүйесінің көлемі, л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1115EB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10</w:t>
            </w:r>
          </w:p>
        </w:tc>
      </w:tr>
      <w:tr w14:paraId="5164D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8AB624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Майлау жүйесі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50759C1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Шашырау</w:t>
            </w:r>
          </w:p>
        </w:tc>
      </w:tr>
      <w:tr w14:paraId="17AF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B5F6D6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Іске қосу жүйесі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8394D4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Автоматты (батарея жинағы бар)</w:t>
            </w:r>
          </w:p>
        </w:tc>
      </w:tr>
      <w:tr w14:paraId="11EF7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B5D7E3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Автоматты кернеу реттегіші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5E6950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Иә</w:t>
            </w:r>
          </w:p>
        </w:tc>
      </w:tr>
      <w:tr w14:paraId="3A7EC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69F151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Май деңгейі сенсоры / Вольметр / Сағат есептегіші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B09559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Иә / Иә / Иә</w:t>
            </w:r>
          </w:p>
        </w:tc>
      </w:tr>
      <w:tr w14:paraId="2BCF4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356950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Өлшемдері (Д×Ш×В), мм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3F4DF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1800 × 720 × 1100</w:t>
            </w:r>
          </w:p>
        </w:tc>
      </w:tr>
      <w:tr w14:paraId="6521A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8A5228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Салмағы, кг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6D42F3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550</w:t>
            </w:r>
          </w:p>
        </w:tc>
      </w:tr>
      <w:tr w14:paraId="25D6F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268B70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Жай-күйі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C4F66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8"/>
                <w:szCs w:val="18"/>
              </w:rPr>
              <w:t>Жаңа, орнатылмаған, электр желісіне қосылмаған. АВР жоқ — Орындаушы орнатады.</w:t>
            </w:r>
          </w:p>
        </w:tc>
      </w:tr>
      <w:tr w14:paraId="5BC9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F4E7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023F7C9"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color w:val="FFFFFF"/>
                <w:sz w:val="16"/>
                <w:szCs w:val="16"/>
              </w:rPr>
              <w:t>Көрсеткіш / Показатель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F4E7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4526365"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color w:val="FFFFFF"/>
                <w:sz w:val="16"/>
                <w:szCs w:val="16"/>
              </w:rPr>
              <w:t>Мәні / Значение</w:t>
            </w:r>
          </w:p>
        </w:tc>
      </w:tr>
      <w:tr w14:paraId="40EEB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189001B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Модель / Модель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1B254D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GS165R</w:t>
            </w:r>
          </w:p>
        </w:tc>
      </w:tr>
      <w:tr w14:paraId="61C5C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DB9C73C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Номинал қуаты / Мощность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2F5E50E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30 кВА / 24 кВт</w:t>
            </w:r>
          </w:p>
        </w:tc>
      </w:tr>
      <w:tr w14:paraId="29E9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302B6F3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Кернеу / Жиілік / Фаза / Напряжение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63A3342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400 В / 50–60 Гц / 3 фаза</w:t>
            </w:r>
          </w:p>
        </w:tc>
      </w:tr>
      <w:tr w14:paraId="011F2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B27650E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Номиналды ток / Ток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03AE68D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90 А</w:t>
            </w:r>
          </w:p>
        </w:tc>
      </w:tr>
      <w:tr w14:paraId="56662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55467AA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Отын / Топливо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0DFBC5F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Дизель / Дизель</w:t>
            </w:r>
          </w:p>
        </w:tc>
      </w:tr>
      <w:tr w14:paraId="793B3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76D3D1A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Айн/мин / об/мин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95758B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1500</w:t>
            </w:r>
          </w:p>
        </w:tc>
      </w:tr>
      <w:tr w14:paraId="7D448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B0C879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Отын шығыны / Расход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FFADBF9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6 л/сағ</w:t>
            </w:r>
          </w:p>
        </w:tc>
      </w:tr>
      <w:tr w14:paraId="55AB0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7753A11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Қозғалтқыш / Двигатель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14521B4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4 тактілі, сумен салқындату / 4-тактный, водяное охлаждение</w:t>
            </w:r>
          </w:p>
        </w:tc>
      </w:tr>
      <w:tr w14:paraId="6C696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99E708A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Генератор / Генератор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862A1F7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Синхронды, AVR бар / Синхронный, с AVR</w:t>
            </w:r>
          </w:p>
        </w:tc>
      </w:tr>
      <w:tr w14:paraId="1CF07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071AEAB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Іске қосу / Запуск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DBC5CDC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Автоматты (батарея бар) / Автозапуск (с АКБ)</w:t>
            </w:r>
          </w:p>
        </w:tc>
      </w:tr>
      <w:tr w14:paraId="22D0B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A44183E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Өлшемдері / Габариты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7F66A1F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1800×720×1100 мм</w:t>
            </w:r>
          </w:p>
        </w:tc>
      </w:tr>
      <w:tr w14:paraId="1251F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10" w:type="dxa"/>
        </w:trPr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BC82E6D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Салмағы / Вес</w:t>
            </w:r>
          </w:p>
        </w:tc>
        <w:tc>
          <w:tcPr>
            <w:tcW w:w="5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F0F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C392BB5"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7"/>
                <w:szCs w:val="17"/>
              </w:rPr>
              <w:t>550 кг</w:t>
            </w:r>
          </w:p>
        </w:tc>
      </w:tr>
    </w:tbl>
    <w:p w14:paraId="25D387F3">
      <w:pPr>
        <w:spacing w:before="80" w:after="80"/>
        <w:jc w:val="left"/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32"/>
          <w:szCs w:val="32"/>
        </w:rPr>
        <w:t>ЕСКЕРТУ / ПРИМЕЧАНИЕ: Барлық материалдар жеткізушінің (Орындаушының) есебінен. / Весь материал за счёт поставщика (Исполнителя).</w:t>
      </w:r>
    </w:p>
    <w:p w14:paraId="7DAF2759">
      <w:pPr>
        <w:pStyle w:val="2"/>
      </w:pPr>
      <w:r>
        <w:t>3. Жұмыстар көлемі / Объём работ</w:t>
      </w:r>
    </w:p>
    <w:p w14:paraId="30B724A3">
      <w:pPr>
        <w:pStyle w:val="3"/>
      </w:pPr>
      <w:r>
        <w:t>3.1. Дайындық және монтаж / Подготовительные и монтажные работы</w:t>
      </w:r>
    </w:p>
    <w:p w14:paraId="0DDDE90E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Алаңды дайындау / Подготовка площадки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Подготовка площадки</w:t>
      </w:r>
    </w:p>
    <w:p w14:paraId="7A7B07A5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Бетон негіз құю, горизонтты тексеру / Устройство бетонного основания, проверка горизонта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Устройство бетонного основания</w:t>
      </w:r>
    </w:p>
    <w:p w14:paraId="6C21F5E0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Генераторды орнату және бекіту / Установка и крепление генератора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Установка и надёжное крепление</w:t>
      </w:r>
    </w:p>
    <w:p w14:paraId="56F2FEBD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Виброоқшаулағыш элементтер / Виброизоляционные элементы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Установка виброизоляторов</w:t>
      </w:r>
    </w:p>
    <w:p w14:paraId="380ABE04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Жанармай, шығару, желдету жүйелерін монтаждау / Монтаж топливной, выхлопной, вентиляционной систем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Монтаж систем</w:t>
      </w:r>
    </w:p>
    <w:p w14:paraId="6B7BE68E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Монтаж дұрыстығын тексеру / Проверка правильности монтажа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Проверка монтажа</w:t>
      </w:r>
    </w:p>
    <w:p w14:paraId="1C34D286">
      <w:pPr>
        <w:pStyle w:val="3"/>
      </w:pPr>
      <w:r>
        <w:t>3.2. АВР және электр қосу / Установка АВР и подключение</w:t>
      </w:r>
    </w:p>
    <w:p w14:paraId="0E2BC484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АВР шкафын жеткізу, монтаждау, баптау / Поставка, монтаж и настройка шкафа АВР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Поставка и монтаж АВР</w:t>
      </w:r>
    </w:p>
    <w:p w14:paraId="29AF4770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Электр желісіне толық қосу / Полное подключение к электросети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Подключение к сети</w:t>
      </w:r>
    </w:p>
    <w:p w14:paraId="6CCF0B28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Күштік және басқару кабельдерін тарту / Прокладка силовых и управляющих кабелей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Прокладка кабелей</w:t>
      </w:r>
    </w:p>
    <w:p w14:paraId="584F9F05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Автоматты ажыратқыштар, контакторлар орнату / Установка автоматов, контакторов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Установка коммутационного оборудования</w:t>
      </w:r>
    </w:p>
    <w:p w14:paraId="5D331611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Автоматты ауысу режимін баптау / Настройка автоматического переключения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Настройка АВР</w:t>
      </w:r>
    </w:p>
    <w:p w14:paraId="119C75FE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Жерге қосу / Организация заземления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Заземление</w:t>
      </w:r>
    </w:p>
    <w:p w14:paraId="7B12F394">
      <w:pPr>
        <w:pStyle w:val="16"/>
        <w:numPr>
          <w:ilvl w:val="0"/>
          <w:numId w:val="2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Сынақ режимінде іске қосу, жүктемемен тексеру / Пуско-наладка, проверка под нагрузкой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Пуско-наладка</w:t>
      </w:r>
    </w:p>
    <w:p w14:paraId="4EC41573">
      <w:pPr>
        <w:pStyle w:val="3"/>
      </w:pPr>
      <w:r>
        <w:t>3.3. Қоршау / Ограждение</w:t>
      </w:r>
    </w:p>
    <w:p w14:paraId="3FF1E82F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Металл қоршау, қақпа/есік орнату / Устройство металлического ограждения, ворот/двери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Ограждение</w:t>
      </w:r>
    </w:p>
    <w:p w14:paraId="4395E01C">
      <w:pPr>
        <w:pStyle w:val="16"/>
        <w:numPr>
          <w:ilvl w:val="0"/>
          <w:numId w:val="1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Қауіпсіздік талаптарына сәйкестік, бөгде адамдардың кіруін шектеу / Соответствие ТБ, ограничение доступа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Безопасность</w:t>
      </w:r>
    </w:p>
    <w:p w14:paraId="01B790D3">
      <w:pPr>
        <w:pStyle w:val="3"/>
      </w:pPr>
      <w:r>
        <w:t>3.4. Материалдар (Орындаушы есебінен) / Материалы (за счёт Исполнителя)</w:t>
      </w:r>
    </w:p>
    <w:p w14:paraId="06C0A082">
      <w:pPr>
        <w:spacing w:before="0" w:after="80"/>
        <w:jc w:val="left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17"/>
          <w:szCs w:val="17"/>
        </w:rPr>
        <w:t>АВР шкафы, автоматты ажыратқыштар, контакторлар, кабельдер, наконечниктер, муфталар, арналар, гофралар, лотоктар, бекіткіштер, анкерлер, жерге қосу материалдары, мыс шиналар, виброоқшаулағыштар, герметиктер және барлық шығын материалдары. / Шкаф АВР, автоматы, контакторы, кабели, наконечники, муфты, каналы, гофры, лотки, крепёж, анкеры, материалы заземления, медные шины, виброизоляторы, герметики и все расходные материалы.</w:t>
      </w:r>
    </w:p>
    <w:p w14:paraId="47A84660">
      <w:pPr>
        <w:pStyle w:val="2"/>
      </w:pPr>
      <w:r>
        <w:t>4. Мерзімдер / Сроки</w:t>
      </w:r>
    </w:p>
    <w:p w14:paraId="4F4A8404">
      <w:pPr>
        <w:spacing w:before="0" w:after="80"/>
      </w:pPr>
      <w:r>
        <w:rPr>
          <w:rFonts w:ascii="Times New Roman" w:hAnsi="Times New Roman" w:eastAsia="Times New Roman" w:cs="Times New Roman"/>
          <w:sz w:val="20"/>
          <w:szCs w:val="20"/>
        </w:rPr>
        <w:t>Орындау мерзімі: 15 күнтізбелік күннен аспауы тиіс.</w:t>
      </w:r>
      <w:r>
        <w:rPr>
          <w:rFonts w:ascii="Times New Roman" w:hAnsi="Times New Roman" w:eastAsia="Times New Roman" w:cs="Times New Roman"/>
          <w:color w:val="666666"/>
          <w:sz w:val="18"/>
          <w:szCs w:val="18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8"/>
          <w:szCs w:val="18"/>
        </w:rPr>
        <w:t>Срок выполнения: не более 15 календарных дней.</w:t>
      </w:r>
    </w:p>
    <w:p w14:paraId="0F93B79F">
      <w:pPr>
        <w:spacing w:before="0" w:after="80"/>
      </w:pPr>
      <w:r>
        <w:rPr>
          <w:rFonts w:ascii="Times New Roman" w:hAnsi="Times New Roman" w:eastAsia="Times New Roman" w:cs="Times New Roman"/>
          <w:sz w:val="20"/>
          <w:szCs w:val="20"/>
        </w:rPr>
        <w:t>Жұмысқа кепілдік: кемінде 12 ай; жабдыққа — өндіруші талаптарына сәйкес.</w:t>
      </w:r>
      <w:r>
        <w:rPr>
          <w:rFonts w:ascii="Times New Roman" w:hAnsi="Times New Roman" w:eastAsia="Times New Roman" w:cs="Times New Roman"/>
          <w:color w:val="666666"/>
          <w:sz w:val="18"/>
          <w:szCs w:val="18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8"/>
          <w:szCs w:val="18"/>
        </w:rPr>
        <w:t>Гарантия на работы: не менее 12 месяцев; на оборудование — по требованиям производителя.</w:t>
      </w:r>
    </w:p>
    <w:p w14:paraId="2A625026">
      <w:pPr>
        <w:pStyle w:val="2"/>
      </w:pPr>
      <w:r>
        <w:t>5. Орындаушыға талаптар / Требования к Исполнителю</w:t>
      </w:r>
    </w:p>
    <w:p w14:paraId="25F912AD">
      <w:pPr>
        <w:pStyle w:val="16"/>
        <w:numPr>
          <w:ilvl w:val="0"/>
          <w:numId w:val="3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Жұмыстар жылыту маусымы басталғанға дейін аяқталуы тиіс.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Работы завершить до начала отопительного сезона.</w:t>
      </w:r>
    </w:p>
    <w:p w14:paraId="5E59C99F">
      <w:pPr>
        <w:pStyle w:val="16"/>
        <w:numPr>
          <w:ilvl w:val="0"/>
          <w:numId w:val="3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ҚР ҚНжЕ, ГОСТ талаптарына сәйкес орындау.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Выполнение по СН РК, ГОСТ.</w:t>
      </w:r>
    </w:p>
    <w:p w14:paraId="5AA12AB3">
      <w:pPr>
        <w:pStyle w:val="16"/>
        <w:numPr>
          <w:ilvl w:val="0"/>
          <w:numId w:val="3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Сапа сертификаттары міндетті.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Сертификаты качества обязательны.</w:t>
      </w:r>
    </w:p>
    <w:p w14:paraId="041658BB">
      <w:pPr>
        <w:pStyle w:val="16"/>
        <w:numPr>
          <w:ilvl w:val="0"/>
          <w:numId w:val="3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Акт, хаттамалар, кепілдік құжаттары тапсырылады.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Передача акта, протоколов, гарантийных документов.</w:t>
      </w:r>
    </w:p>
    <w:p w14:paraId="781B0108">
      <w:pPr>
        <w:pStyle w:val="2"/>
      </w:pPr>
      <w:r>
        <w:t>МЕРДІГЕРДІҢ ЖАУАПКЕРШІЛІГІ ТУРАЛЫ ЗАҢДЫ ЕСКЕРТУ / ЮРИДИЧЕСКОЕ ПРЕДУПРЕЖДЕНИЕ ОБ ОТВЕТСТВЕННОСТИ ПОДРЯДЧИКА</w:t>
      </w:r>
    </w:p>
    <w:tbl>
      <w:tblPr>
        <w:tblStyle w:val="9"/>
        <w:tblW w:w="10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056"/>
      </w:tblGrid>
      <w:tr w14:paraId="106E8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056" w:type="dxa"/>
            <w:tcBorders>
              <w:top w:val="single" w:color="C00000" w:sz="16" w:space="0"/>
              <w:left w:val="single" w:color="C00000" w:sz="16" w:space="0"/>
              <w:bottom w:val="single" w:color="C00000" w:sz="16" w:space="0"/>
              <w:right w:val="single" w:color="C00000" w:sz="16" w:space="0"/>
            </w:tcBorders>
            <w:shd w:val="clear" w:color="auto" w:fill="FFF3C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B6B8E4">
            <w:pPr>
              <w:spacing w:before="0" w:after="6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C00000"/>
                <w:sz w:val="22"/>
                <w:szCs w:val="22"/>
              </w:rPr>
              <w:t>МАҢЫЗДЫ ЕСКЕРТУ / ВАЖНОЕ ПРЕДУПРЕЖДЕНИЕ</w:t>
            </w:r>
          </w:p>
          <w:p w14:paraId="61000AD3">
            <w:pPr>
              <w:spacing w:before="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  <w:t>Осы объект (Әуезов атындағы мектеп) — балалар күнделікті білім алатын жалпы білім беретін мектеп. Жылыту жүйесінің қыс мезгілінде үздіксіз жұмыс істеуі — оқушылар мен қызметкерлердің өмірі мен денсаулығын сақтаудың ажырамас шарты.</w:t>
            </w:r>
          </w:p>
          <w:p w14:paraId="577972B4">
            <w:pPr>
              <w:spacing w:before="0" w:after="4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333333"/>
                <w:sz w:val="17"/>
                <w:szCs w:val="17"/>
              </w:rPr>
              <w:t>Данный объект (школа им. Ауэзова) — общеобразовательная школа, где ежедневно находятся дети. Бесперебойная работа системы отопления в зимний период — неотъемлемое условие сохранения жизни и здоровья учащихся и персонала.</w:t>
            </w:r>
          </w:p>
        </w:tc>
      </w:tr>
    </w:tbl>
    <w:p w14:paraId="7522E445">
      <w:pPr>
        <w:spacing w:before="120" w:after="60"/>
        <w:jc w:val="left"/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19"/>
          <w:szCs w:val="19"/>
        </w:rPr>
        <w:t>Орындаушы төмендегілерді нақты түсінуі және сақтауы тиіс / Исполнитель обязан чётко понимать и соблюдать следующее:</w:t>
      </w:r>
    </w:p>
    <w:p w14:paraId="53716D1A">
      <w:pPr>
        <w:pStyle w:val="16"/>
        <w:numPr>
          <w:ilvl w:val="0"/>
          <w:numId w:val="4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 xml:space="preserve">Жұмыстарды техникалық сипаттамада, сметада және ҚР ҚНжЕ/ГОСТ талаптарына сәйкес толық көлемде, сапада 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19"/>
          <w:szCs w:val="19"/>
        </w:rPr>
        <w:t>және мерзімде орындауға міндетті.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Обязан выполнить работы в полном объёме, качестве и сроках согласно технической спецификации, смете и требованиям СН РК / ГОСТ.</w:t>
      </w:r>
    </w:p>
    <w:p w14:paraId="385D1C1C">
      <w:pPr>
        <w:pStyle w:val="16"/>
        <w:numPr>
          <w:ilvl w:val="0"/>
          <w:numId w:val="4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Жылыту жүйесінің кез келген элементін немқұрайлы/сапасыз орнату нәтижесінде жүйенің істен шығуына жол берілмейді.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Не допускается выход системы из строя вследствие небрежного или некачественного монтажа любого элемента системы отопления.</w:t>
      </w:r>
    </w:p>
    <w:p w14:paraId="64962714">
      <w:pPr>
        <w:pStyle w:val="16"/>
        <w:numPr>
          <w:ilvl w:val="0"/>
          <w:numId w:val="4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Егер Орындаушының кінәсінен қыста мектеп жылуы істен шығып, балалардың денсаулығына қауіп төнсе — бұл шарттық міндеттемелерді елеулі бұзу болып саналады.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Если по вине Исполнителя зимой отопление школы выйдет из строя и создаст угрозу здоровью детей — это расценивается как существенное нарушение договорных обязательств.</w:t>
      </w:r>
    </w:p>
    <w:p w14:paraId="0A483447">
      <w:pPr>
        <w:pStyle w:val="16"/>
        <w:numPr>
          <w:ilvl w:val="0"/>
          <w:numId w:val="4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Мұндай бұзушылық үшін: тұрақсыздық айыбы (АК РК), залалды толық өтеу; «Мемлекеттік сатып алу туралы» ҚР Заңының 12-бабы 4-т. 3) тп. бойынша жосықсыз қатысушылар тізіліміне енгізу мүмкін.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За такое нарушение: неустойка (ГК РК), полное возмещение убытков; возможно включение в реестр недобросовестных участников по п.4 пп.3) ст.12 Закона РК «О государственных закупках».</w:t>
      </w:r>
    </w:p>
    <w:p w14:paraId="0B14DA41">
      <w:pPr>
        <w:pStyle w:val="16"/>
        <w:numPr>
          <w:ilvl w:val="0"/>
          <w:numId w:val="4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Адам өміріне/денсаулығына зиян келтірілген жағдайда — әкімшілік немесе қылмыстық жауапкершілік мәселесі қаралуы мүмкін.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При причинении вреда жизни или здоровью возможна административная либо уголовная ответственность.</w:t>
      </w:r>
    </w:p>
    <w:p w14:paraId="1F161236">
      <w:pPr>
        <w:pStyle w:val="16"/>
        <w:numPr>
          <w:ilvl w:val="0"/>
          <w:numId w:val="4"/>
        </w:numPr>
        <w:spacing w:after="40"/>
      </w:pPr>
      <w:r>
        <w:rPr>
          <w:rFonts w:ascii="Times New Roman" w:hAnsi="Times New Roman" w:eastAsia="Times New Roman" w:cs="Times New Roman"/>
          <w:sz w:val="19"/>
          <w:szCs w:val="19"/>
        </w:rPr>
        <w:t>Тапсырыс беруші сапаны бақылауға және кемшіліктерді Орындаушыдан өз есебінен кідіріссіз жоюды талап етуге құқылы.</w:t>
      </w:r>
      <w:r>
        <w:rPr>
          <w:rFonts w:ascii="Times New Roman" w:hAnsi="Times New Roman" w:eastAsia="Times New Roman" w:cs="Times New Roman"/>
          <w:color w:val="666666"/>
          <w:sz w:val="17"/>
          <w:szCs w:val="17"/>
        </w:rPr>
        <w:t xml:space="preserve"> / </w:t>
      </w:r>
      <w:r>
        <w:rPr>
          <w:rFonts w:ascii="Times New Roman" w:hAnsi="Times New Roman" w:eastAsia="Times New Roman" w:cs="Times New Roman"/>
          <w:i/>
          <w:iCs/>
          <w:color w:val="444444"/>
          <w:sz w:val="17"/>
          <w:szCs w:val="17"/>
        </w:rPr>
        <w:t>Заказчик вправе контролировать качество и требовать устранения недостатков за счёт Исполнителя без промедления.</w:t>
      </w:r>
    </w:p>
    <w:p w14:paraId="069EC3F2">
      <w:pPr>
        <w:pBdr>
          <w:top w:val="single" w:color="C00000" w:sz="6" w:space="6"/>
          <w:bottom w:val="single" w:color="C00000" w:sz="6" w:space="6"/>
        </w:pBdr>
        <w:spacing w:before="80" w:after="60"/>
      </w:pPr>
      <w:r>
        <w:rPr>
          <w:rFonts w:ascii="Times New Roman" w:hAnsi="Times New Roman" w:eastAsia="Times New Roman" w:cs="Times New Roman"/>
          <w:b/>
          <w:bCs/>
          <w:sz w:val="17"/>
          <w:szCs w:val="17"/>
        </w:rPr>
        <w:t>Осы ескерту конкурстық құжаттамамен және шартпен бір тұтас. Өтінім беру — осы талаптармен толық келісуді білдіреді. / Настоящее предупреждение является неотъемлемой частью конкурсной документации и договора. Подача заявки означает полное согласие с данными требованиями.</w:t>
      </w:r>
    </w:p>
    <w:p w14:paraId="22CDB6E2">
      <w:pPr>
        <w:spacing w:before="160" w:after="60"/>
        <w:jc w:val="center"/>
      </w:pPr>
      <w:r>
        <w:rPr>
          <w:rFonts w:ascii="Times New Roman" w:hAnsi="Times New Roman" w:eastAsia="Times New Roman" w:cs="Times New Roman"/>
          <w:b w:val="0"/>
          <w:bCs w:val="0"/>
          <w:i/>
          <w:iCs/>
          <w:color w:val="999999"/>
          <w:sz w:val="16"/>
          <w:szCs w:val="16"/>
        </w:rPr>
        <w:t>— Техникалық сипаттаманың соңы / Конец технической спецификации —</w:t>
      </w:r>
    </w:p>
    <w:sectPr>
      <w:headerReference r:id="rId3" w:type="default"/>
      <w:footerReference r:id="rId4" w:type="default"/>
      <w:pgSz w:w="11906" w:h="16838"/>
      <w:pgMar w:top="800" w:right="800" w:bottom="800" w:left="90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777E00">
    <w:pPr>
      <w:jc w:val="center"/>
    </w:pPr>
    <w:r>
      <w:rPr>
        <w:rFonts w:ascii="Times New Roman" w:hAnsi="Times New Roman" w:eastAsia="Times New Roman" w:cs="Times New Roman"/>
        <w:sz w:val="14"/>
        <w:szCs w:val="14"/>
      </w:rPr>
      <w:t xml:space="preserve">Бет / Стр. </w:t>
    </w:r>
    <w:r>
      <w:rPr>
        <w:rFonts w:ascii="Times New Roman" w:hAnsi="Times New Roman" w:eastAsia="Times New Roman" w:cs="Times New Roman"/>
        <w:sz w:val="14"/>
        <w:szCs w:val="14"/>
      </w:rPr>
      <w:fldChar w:fldCharType="begin"/>
    </w:r>
    <w:r>
      <w:rPr>
        <w:rFonts w:ascii="Times New Roman" w:hAnsi="Times New Roman" w:eastAsia="Times New Roman" w:cs="Times New Roman"/>
        <w:sz w:val="14"/>
        <w:szCs w:val="14"/>
      </w:rPr>
      <w:instrText xml:space="preserve">PAGE</w:instrText>
    </w:r>
    <w:r>
      <w:rPr>
        <w:rFonts w:ascii="Times New Roman" w:hAnsi="Times New Roman" w:eastAsia="Times New Roman" w:cs="Times New Roman"/>
        <w:sz w:val="14"/>
        <w:szCs w:val="14"/>
      </w:rPr>
      <w:fldChar w:fldCharType="separate"/>
    </w:r>
    <w:r>
      <w:rPr>
        <w:rFonts w:ascii="Times New Roman" w:hAnsi="Times New Roman" w:eastAsia="Times New Roman" w:cs="Times New Roman"/>
        <w:sz w:val="14"/>
        <w:szCs w:val="14"/>
      </w:rPr>
      <w:fldChar w:fldCharType="end"/>
    </w:r>
    <w:r>
      <w:rPr>
        <w:rFonts w:ascii="Times New Roman" w:hAnsi="Times New Roman" w:eastAsia="Times New Roman" w:cs="Times New Roman"/>
        <w:sz w:val="14"/>
        <w:szCs w:val="14"/>
      </w:rPr>
      <w:t xml:space="preserve"> / </w:t>
    </w:r>
    <w:r>
      <w:rPr>
        <w:rFonts w:ascii="Times New Roman" w:hAnsi="Times New Roman" w:eastAsia="Times New Roman" w:cs="Times New Roman"/>
        <w:sz w:val="14"/>
        <w:szCs w:val="14"/>
      </w:rPr>
      <w:fldChar w:fldCharType="begin"/>
    </w:r>
    <w:r>
      <w:rPr>
        <w:rFonts w:ascii="Times New Roman" w:hAnsi="Times New Roman" w:eastAsia="Times New Roman" w:cs="Times New Roman"/>
        <w:sz w:val="14"/>
        <w:szCs w:val="14"/>
      </w:rPr>
      <w:instrText xml:space="preserve">NUMPAGES</w:instrText>
    </w:r>
    <w:r>
      <w:rPr>
        <w:rFonts w:ascii="Times New Roman" w:hAnsi="Times New Roman" w:eastAsia="Times New Roman" w:cs="Times New Roman"/>
        <w:sz w:val="14"/>
        <w:szCs w:val="14"/>
      </w:rPr>
      <w:fldChar w:fldCharType="separate"/>
    </w:r>
    <w:r>
      <w:rPr>
        <w:rFonts w:ascii="Times New Roman" w:hAnsi="Times New Roman" w:eastAsia="Times New Roman" w:cs="Times New Roman"/>
        <w:sz w:val="14"/>
        <w:szCs w:val="14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A2A856">
    <w:pPr>
      <w:jc w:val="center"/>
    </w:pPr>
    <w:r>
      <w:rPr>
        <w:rFonts w:ascii="Times New Roman" w:hAnsi="Times New Roman" w:eastAsia="Times New Roman" w:cs="Times New Roman"/>
        <w:i/>
        <w:iCs/>
        <w:color w:val="666666"/>
        <w:sz w:val="14"/>
        <w:szCs w:val="14"/>
      </w:rPr>
      <w:t>Түркістан облысы Бәйдібек ауданы білім бөлімі / Отдел образования Байдибекского района  |  2026–2027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singleLevel"/>
    <w:tmpl w:val="B5E306ED"/>
    <w:lvl w:ilvl="0" w:tentative="0">
      <w:start w:val="1"/>
      <w:numFmt w:val="decimal"/>
      <w:lvlText w:val="%1."/>
      <w:lvlJc w:val="left"/>
      <w:pPr>
        <w:ind w:left="720" w:hanging="360"/>
      </w:pPr>
    </w:lvl>
  </w:abstractNum>
  <w:abstractNum w:abstractNumId="1">
    <w:nsid w:val="0053208E"/>
    <w:multiLevelType w:val="singleLevel"/>
    <w:tmpl w:val="0053208E"/>
    <w:lvl w:ilvl="0" w:tentative="0">
      <w:start w:val="1"/>
      <w:numFmt w:val="bullet"/>
      <w:lvlText w:val="•"/>
      <w:lvlJc w:val="left"/>
      <w:pPr>
        <w:ind w:left="720" w:hanging="360"/>
      </w:pPr>
    </w:lvl>
  </w:abstractNum>
  <w:abstractNum w:abstractNumId="2">
    <w:nsid w:val="25B654F3"/>
    <w:multiLevelType w:val="singleLevel"/>
    <w:tmpl w:val="25B654F3"/>
    <w:lvl w:ilvl="0" w:tentative="0">
      <w:start w:val="1"/>
      <w:numFmt w:val="decimal"/>
      <w:lvlText w:val="%1."/>
      <w:lvlJc w:val="left"/>
      <w:pPr>
        <w:ind w:left="720" w:hanging="360"/>
      </w:pPr>
    </w:lvl>
  </w:abstractNum>
  <w:abstractNum w:abstractNumId="3">
    <w:nsid w:val="59ADCABA"/>
    <w:multiLevelType w:val="singleLevel"/>
    <w:tmpl w:val="59ADCABA"/>
    <w:lvl w:ilvl="0" w:tentative="0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ompat>
    <w:compatSetting w:name="compatibilityMode" w:uri="http://schemas.microsoft.com/office/word" w:val="15"/>
  </w:compat>
  <w:rsids>
    <w:rsidRoot w:val="00000000"/>
    <w:rsid w:val="007214BC"/>
    <w:rsid w:val="2CD50B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paragraph" w:styleId="2">
    <w:name w:val="heading 1"/>
    <w:next w:val="1"/>
    <w:qFormat/>
    <w:uiPriority w:val="0"/>
    <w:pPr>
      <w:spacing w:before="240" w:after="120"/>
      <w:outlineLvl w:val="0"/>
    </w:pPr>
    <w:rPr>
      <w:rFonts w:ascii="Times New Roman" w:hAnsi="Times New Roman" w:eastAsia="Times New Roman" w:cs="Times New Roman"/>
      <w:b/>
      <w:bCs/>
      <w:color w:val="1F4E79"/>
      <w:sz w:val="24"/>
      <w:szCs w:val="24"/>
    </w:rPr>
  </w:style>
  <w:style w:type="paragraph" w:styleId="3">
    <w:name w:val="heading 2"/>
    <w:next w:val="1"/>
    <w:qFormat/>
    <w:uiPriority w:val="0"/>
    <w:pPr>
      <w:spacing w:before="180" w:after="80"/>
      <w:outlineLvl w:val="1"/>
    </w:pPr>
    <w:rPr>
      <w:rFonts w:ascii="Times New Roman" w:hAnsi="Times New Roman" w:eastAsia="Times New Roman" w:cs="Times New Roman"/>
      <w:b/>
      <w:bCs/>
      <w:color w:val="2E75B6"/>
      <w:sz w:val="21"/>
      <w:szCs w:val="21"/>
    </w:rPr>
  </w:style>
  <w:style w:type="paragraph" w:styleId="4">
    <w:name w:val="heading 3"/>
    <w:next w:val="1"/>
    <w:qFormat/>
    <w:uiPriority w:val="0"/>
    <w:rPr>
      <w:rFonts w:ascii="Times New Roman" w:hAnsi="Times New Roman" w:eastAsia="Times New Roman" w:cs="Times New Roman"/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rFonts w:ascii="Times New Roman" w:hAnsi="Times New Roman" w:eastAsia="Times New Roman" w:cs="Times New Roman"/>
      <w:i/>
      <w:iCs/>
      <w:color w:val="2E74B5"/>
      <w:sz w:val="20"/>
      <w:szCs w:val="20"/>
    </w:rPr>
  </w:style>
  <w:style w:type="paragraph" w:styleId="6">
    <w:name w:val="heading 5"/>
    <w:next w:val="1"/>
    <w:qFormat/>
    <w:uiPriority w:val="0"/>
    <w:rPr>
      <w:rFonts w:ascii="Times New Roman" w:hAnsi="Times New Roman" w:eastAsia="Times New Roman" w:cs="Times New Roman"/>
      <w:color w:val="2E74B5"/>
      <w:sz w:val="20"/>
      <w:szCs w:val="20"/>
    </w:rPr>
  </w:style>
  <w:style w:type="paragraph" w:styleId="7">
    <w:name w:val="heading 6"/>
    <w:next w:val="1"/>
    <w:qFormat/>
    <w:uiPriority w:val="0"/>
    <w:rPr>
      <w:rFonts w:ascii="Times New Roman" w:hAnsi="Times New Roman" w:eastAsia="Times New Roman" w:cs="Times New Roman"/>
      <w:color w:val="1F4D78"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semiHidden/>
    <w:unhideWhenUsed/>
    <w:qFormat/>
    <w:uiPriority w:val="99"/>
    <w:rPr>
      <w:vertAlign w:val="superscript"/>
    </w:rPr>
  </w:style>
  <w:style w:type="character" w:styleId="11">
    <w:name w:val="endnote reference"/>
    <w:semiHidden/>
    <w:unhideWhenUsed/>
    <w:qFormat/>
    <w:uiPriority w:val="99"/>
    <w:rPr>
      <w:vertAlign w:val="superscript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paragraph" w:styleId="13">
    <w:name w:val="endnote text"/>
    <w:link w:val="18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14">
    <w:name w:val="footnote text"/>
    <w:link w:val="17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15">
    <w:name w:val="Title"/>
    <w:qFormat/>
    <w:uiPriority w:val="0"/>
    <w:rPr>
      <w:rFonts w:ascii="Times New Roman" w:hAnsi="Times New Roman" w:eastAsia="Times New Roman" w:cs="Times New Roman"/>
      <w:sz w:val="56"/>
      <w:szCs w:val="56"/>
    </w:rPr>
  </w:style>
  <w:style w:type="paragraph" w:styleId="16">
    <w:name w:val="List Paragraph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17">
    <w:name w:val="Footnote Text Char"/>
    <w:link w:val="14"/>
    <w:semiHidden/>
    <w:unhideWhenUsed/>
    <w:qFormat/>
    <w:uiPriority w:val="99"/>
    <w:rPr>
      <w:sz w:val="20"/>
      <w:szCs w:val="20"/>
    </w:rPr>
  </w:style>
  <w:style w:type="character" w:customStyle="1" w:styleId="18">
    <w:name w:val="Endnote Text Char"/>
    <w:link w:val="13"/>
    <w:semiHidden/>
    <w:unhideWhenUsed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985</Words>
  <Characters>6379</Characters>
  <TotalTime>3</TotalTime>
  <ScaleCrop>false</ScaleCrop>
  <LinksUpToDate>false</LinksUpToDate>
  <CharactersWithSpaces>7283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2026-09-23T05:18:00Z</dcterms:created>
  <dc:creator>Un-named</dc:creator>
  <cp:lastModifiedBy>Бека Жеңіс</cp:lastModifiedBy>
  <dcterms:modified xsi:type="dcterms:W3CDTF">2026-09-23T05:55:00Z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C668AAC2652640B2868CC871E0FF739D_13</vt:lpwstr>
  </property>
  <property fmtid="{D5CDD505-2E9C-101B-9397-08002B2CF9AE}" pid="4" name="KSOTemplateDocerSaveRecord">
    <vt:lpwstr>eyJoZGlkIjoiYTY2NDAzZjFkOGIxYThlYjg3Y2VlZDczYTAwYWM2MzkiLCJ1c2VySWQiOiI1MzYwMTM1MzA5MzE1In0=</vt:lpwstr>
  </property>
</Properties>
</file>