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865" w:rsidRDefault="006218E2" w:rsidP="000673EA">
      <w:pPr>
        <w:tabs>
          <w:tab w:val="left" w:pos="5812"/>
        </w:tabs>
        <w:ind w:left="-426"/>
        <w:jc w:val="center"/>
        <w:rPr>
          <w:rFonts w:ascii="Times New Roman" w:hAnsi="Times New Roman" w:cs="Times New Roman"/>
          <w:b/>
          <w:color w:val="222222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Клинико-диагностическая лаборатория КГП « Областной центр фтизиопульминологии»</w:t>
      </w:r>
    </w:p>
    <w:p w:rsidR="009F23FA" w:rsidRDefault="009F23FA" w:rsidP="000A712E">
      <w:pPr>
        <w:tabs>
          <w:tab w:val="left" w:pos="5812"/>
        </w:tabs>
        <w:ind w:left="-426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</w:p>
    <w:p w:rsidR="00ED30F5" w:rsidRPr="00ED30F5" w:rsidRDefault="00ED30F5" w:rsidP="000A712E">
      <w:pPr>
        <w:tabs>
          <w:tab w:val="left" w:pos="5812"/>
        </w:tabs>
        <w:ind w:left="-426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ED30F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На услуги «</w:t>
      </w:r>
      <w:r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Программывнешней оценки качества</w:t>
      </w:r>
      <w:r w:rsidRPr="00ED30F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 xml:space="preserve"> «ФСВОК-2022»</w:t>
      </w:r>
    </w:p>
    <w:p w:rsidR="007707EA" w:rsidRPr="00CF5F06" w:rsidRDefault="00ED30F5" w:rsidP="007707EA">
      <w:pPr>
        <w:tabs>
          <w:tab w:val="left" w:pos="5812"/>
        </w:tabs>
        <w:ind w:left="-426"/>
        <w:jc w:val="center"/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</w:pPr>
      <w:r w:rsidRPr="00ED30F5">
        <w:rPr>
          <w:rFonts w:ascii="Times New Roman" w:eastAsia="Times New Roman" w:hAnsi="Times New Roman" w:cs="Times New Roman"/>
          <w:b/>
          <w:bCs/>
          <w:color w:val="000000"/>
          <w:sz w:val="21"/>
          <w:szCs w:val="21"/>
          <w:lang w:eastAsia="ru-RU"/>
        </w:rPr>
        <w:t>Оценка качества клинических лабораторных исследований</w:t>
      </w:r>
    </w:p>
    <w:tbl>
      <w:tblPr>
        <w:tblW w:w="10201" w:type="dxa"/>
        <w:tblLayout w:type="fixed"/>
        <w:tblLook w:val="04A0"/>
      </w:tblPr>
      <w:tblGrid>
        <w:gridCol w:w="836"/>
        <w:gridCol w:w="3128"/>
        <w:gridCol w:w="4820"/>
        <w:gridCol w:w="1417"/>
      </w:tblGrid>
      <w:tr w:rsidR="006C4945" w:rsidRPr="007707EA" w:rsidTr="00A61468">
        <w:trPr>
          <w:trHeight w:val="795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4945" w:rsidRPr="007707EA" w:rsidRDefault="006C4945" w:rsidP="006C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07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кат. №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945" w:rsidRPr="007707EA" w:rsidRDefault="006C4945" w:rsidP="006C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07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раздела МСИ «ФСВОК-2022»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945" w:rsidRDefault="006C4945" w:rsidP="006C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  <w:p w:rsidR="006C4945" w:rsidRPr="007707EA" w:rsidRDefault="006C4945" w:rsidP="006C49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Показатели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C4945" w:rsidRPr="007707EA" w:rsidRDefault="006C4945" w:rsidP="006C4945">
            <w:pPr>
              <w:spacing w:after="0" w:line="240" w:lineRule="auto"/>
              <w:ind w:firstLine="3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7707E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Цена, тг </w:t>
            </w:r>
          </w:p>
        </w:tc>
      </w:tr>
      <w:tr w:rsidR="006218E2" w:rsidRPr="007707EA" w:rsidTr="00E21673">
        <w:trPr>
          <w:trHeight w:val="795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18E2" w:rsidRDefault="00D937DA" w:rsidP="006218E2">
            <w:pPr>
              <w:spacing w:before="360" w:after="100" w:afterAutospacing="1" w:line="240" w:lineRule="exact"/>
              <w:jc w:val="center"/>
              <w:rPr>
                <w:rStyle w:val="fontstyle01"/>
              </w:rPr>
            </w:pPr>
            <w:r>
              <w:rPr>
                <w:rStyle w:val="fontstyle01"/>
              </w:rPr>
              <w:t>1</w:t>
            </w:r>
          </w:p>
        </w:tc>
        <w:tc>
          <w:tcPr>
            <w:tcW w:w="3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18E2" w:rsidRDefault="006218E2" w:rsidP="006218E2">
            <w:pPr>
              <w:spacing w:before="360" w:after="120" w:line="240" w:lineRule="exact"/>
              <w:rPr>
                <w:rStyle w:val="fontstyle01"/>
              </w:rPr>
            </w:pPr>
            <w:r>
              <w:rPr>
                <w:rStyle w:val="fontstyle01"/>
              </w:rPr>
              <w:t>Гемоцитометрия-16 (только для "3-diff" геманализаторов Abacus, Advia 60, Ac T</w:t>
            </w:r>
            <w:r>
              <w:rPr>
                <w:color w:val="000000"/>
              </w:rPr>
              <w:br/>
            </w:r>
            <w:r>
              <w:rPr>
                <w:rStyle w:val="fontstyle01"/>
              </w:rPr>
              <w:t>diff, Drew D3, Erba Elite 3, Erma PCE-210, MEK 6400/6500, Medonic CA 620/530, M</w:t>
            </w:r>
            <w:r>
              <w:rPr>
                <w:color w:val="000000"/>
              </w:rPr>
              <w:br/>
            </w:r>
            <w:r>
              <w:rPr>
                <w:rStyle w:val="fontstyle01"/>
              </w:rPr>
              <w:t>Series, Micros 60, MicroCC, Mindray BC 3000 Series, Hemolux 19, Mythic 18, Swelab</w:t>
            </w:r>
            <w:r>
              <w:rPr>
                <w:color w:val="000000"/>
              </w:rPr>
              <w:br/>
            </w:r>
            <w:r>
              <w:rPr>
                <w:rStyle w:val="fontstyle01"/>
              </w:rPr>
              <w:t xml:space="preserve">Alfa/AC920/970, Systex KX-21/XP-300), 2 ц. 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8E2" w:rsidRPr="006218E2" w:rsidRDefault="006218E2" w:rsidP="006218E2">
            <w:pPr>
              <w:spacing w:after="100" w:afterAutospacing="1" w:line="240" w:lineRule="exact"/>
              <w:jc w:val="both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proofErr w:type="gramStart"/>
            <w:r w:rsidRPr="006218E2">
              <w:rPr>
                <w:rFonts w:ascii="Times New Roman" w:hAnsi="Times New Roman" w:cs="Times New Roman"/>
              </w:rPr>
              <w:t>Измеряемые показатели Концентрации показателей крови человека: гематокрит(HCT), гемоглобин (HGB), эритроциты (RBC), лейкоциты (WBC), тромбоциты (PLT), среднее содержание гемоглобина в эритроците (MCH), средняя концентрация гемоглобина в эритроците (MCHC), средние объемы эритроцита (MCV) и тромбоцита (MPV), относительная ширина распределения эритроцитов по объему — коэффициент вариации (RDW-CV), абсолютные и процентные концентрации лимфоцитов (LYMP), смеси разновидности лейкоцитов (MXD), гранулоцитов (GRA). 8 Описание образца для</w:t>
            </w:r>
            <w:proofErr w:type="gramEnd"/>
            <w:r w:rsidRPr="006218E2">
              <w:rPr>
                <w:rFonts w:ascii="Times New Roman" w:hAnsi="Times New Roman" w:cs="Times New Roman"/>
              </w:rPr>
              <w:t xml:space="preserve"> проверки качества исследований (ОПК) Суспензии, содержащие стабилизированные способные к лизису человеческие эритроциты и фиксированные эритроциты животных, имитирующие лейкоциты и тромбоциты человека в пластиковых флаконах с герметично завинчивающимися пробками. Объем ОПК 2,0 мл. Сведения о стабильности и однородности ОПК: стабильны после вскрытия флакона - 20 дней при температуре 2-10°C.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218E2" w:rsidRDefault="00290AC2" w:rsidP="006218E2">
            <w:pPr>
              <w:spacing w:before="480" w:after="840" w:line="240" w:lineRule="exact"/>
              <w:rPr>
                <w:rStyle w:val="fontstyle01"/>
              </w:rPr>
            </w:pPr>
            <w:r w:rsidRPr="00290AC2">
              <w:rPr>
                <w:rStyle w:val="fontstyle01"/>
              </w:rPr>
              <w:t>473275</w:t>
            </w:r>
            <w:r w:rsidR="000673EA">
              <w:rPr>
                <w:rStyle w:val="fontstyle01"/>
              </w:rPr>
              <w:t>,00</w:t>
            </w:r>
          </w:p>
        </w:tc>
      </w:tr>
      <w:tr w:rsidR="006218E2" w:rsidRPr="007707EA" w:rsidTr="00DE3330">
        <w:trPr>
          <w:trHeight w:val="415"/>
        </w:trPr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218E2" w:rsidRPr="00DE3330" w:rsidRDefault="006218E2" w:rsidP="006218E2">
            <w:pPr>
              <w:spacing w:before="120" w:after="120"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DE3330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Итого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218E2" w:rsidRPr="006218E2" w:rsidRDefault="00290AC2" w:rsidP="006218E2">
            <w:pPr>
              <w:spacing w:before="120" w:after="120" w:line="240" w:lineRule="exac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kk-KZ" w:eastAsia="ru-RU"/>
              </w:rPr>
            </w:pPr>
            <w:r w:rsidRPr="00290AC2">
              <w:rPr>
                <w:rFonts w:ascii="Times New Roman" w:eastAsia="Times New Roman" w:hAnsi="Times New Roman" w:cs="Times New Roman"/>
                <w:b/>
                <w:color w:val="000000"/>
                <w:lang w:val="kk-KZ" w:eastAsia="ru-RU"/>
              </w:rPr>
              <w:t>473275</w:t>
            </w:r>
            <w:r w:rsidR="000673EA">
              <w:rPr>
                <w:rFonts w:ascii="Times New Roman" w:eastAsia="Times New Roman" w:hAnsi="Times New Roman" w:cs="Times New Roman"/>
                <w:b/>
                <w:color w:val="000000"/>
                <w:lang w:val="kk-KZ" w:eastAsia="ru-RU"/>
              </w:rPr>
              <w:t>,00</w:t>
            </w:r>
          </w:p>
        </w:tc>
      </w:tr>
    </w:tbl>
    <w:p w:rsidR="00DE3330" w:rsidRDefault="00DE3330" w:rsidP="00DE3330">
      <w:pPr>
        <w:jc w:val="center"/>
        <w:rPr>
          <w:rFonts w:ascii="Times New Roman" w:hAnsi="Times New Roman" w:cs="Times New Roman"/>
          <w:b/>
        </w:rPr>
      </w:pPr>
    </w:p>
    <w:sectPr w:rsidR="00DE3330" w:rsidSect="0067379A">
      <w:pgSz w:w="11906" w:h="16838"/>
      <w:pgMar w:top="1134" w:right="850" w:bottom="1134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0E39" w:rsidRDefault="00420E39" w:rsidP="00E63BCC">
      <w:pPr>
        <w:spacing w:after="0" w:line="240" w:lineRule="auto"/>
      </w:pPr>
      <w:r>
        <w:separator/>
      </w:r>
    </w:p>
  </w:endnote>
  <w:endnote w:type="continuationSeparator" w:id="0">
    <w:p w:rsidR="00420E39" w:rsidRDefault="00420E39" w:rsidP="00E63B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0E39" w:rsidRDefault="00420E39" w:rsidP="00E63BCC">
      <w:pPr>
        <w:spacing w:after="0" w:line="240" w:lineRule="auto"/>
      </w:pPr>
      <w:r>
        <w:separator/>
      </w:r>
    </w:p>
  </w:footnote>
  <w:footnote w:type="continuationSeparator" w:id="0">
    <w:p w:rsidR="00420E39" w:rsidRDefault="00420E39" w:rsidP="00E63BC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3840"/>
    <w:rsid w:val="00003933"/>
    <w:rsid w:val="000673EA"/>
    <w:rsid w:val="00087AAB"/>
    <w:rsid w:val="000A712E"/>
    <w:rsid w:val="001231A3"/>
    <w:rsid w:val="00161811"/>
    <w:rsid w:val="00175E06"/>
    <w:rsid w:val="00207C96"/>
    <w:rsid w:val="00236A2B"/>
    <w:rsid w:val="00290AC2"/>
    <w:rsid w:val="0030601C"/>
    <w:rsid w:val="00406298"/>
    <w:rsid w:val="00420E39"/>
    <w:rsid w:val="00446935"/>
    <w:rsid w:val="004D6965"/>
    <w:rsid w:val="00556C6C"/>
    <w:rsid w:val="005E577B"/>
    <w:rsid w:val="006218E2"/>
    <w:rsid w:val="0067379A"/>
    <w:rsid w:val="0069168B"/>
    <w:rsid w:val="006C4945"/>
    <w:rsid w:val="006C65E6"/>
    <w:rsid w:val="0074010C"/>
    <w:rsid w:val="007707EA"/>
    <w:rsid w:val="00784C5A"/>
    <w:rsid w:val="007B6D53"/>
    <w:rsid w:val="008166BF"/>
    <w:rsid w:val="00823840"/>
    <w:rsid w:val="008851B8"/>
    <w:rsid w:val="008B14D4"/>
    <w:rsid w:val="008D016D"/>
    <w:rsid w:val="008D2EBB"/>
    <w:rsid w:val="0093416A"/>
    <w:rsid w:val="00944C6B"/>
    <w:rsid w:val="00995865"/>
    <w:rsid w:val="009D4737"/>
    <w:rsid w:val="009F23FA"/>
    <w:rsid w:val="00A61468"/>
    <w:rsid w:val="00A758CB"/>
    <w:rsid w:val="00AB5881"/>
    <w:rsid w:val="00AE5D92"/>
    <w:rsid w:val="00B156A1"/>
    <w:rsid w:val="00B24BC9"/>
    <w:rsid w:val="00B32945"/>
    <w:rsid w:val="00B43150"/>
    <w:rsid w:val="00B70160"/>
    <w:rsid w:val="00BC2E1D"/>
    <w:rsid w:val="00BC693A"/>
    <w:rsid w:val="00CC790D"/>
    <w:rsid w:val="00CF5F06"/>
    <w:rsid w:val="00D42475"/>
    <w:rsid w:val="00D937DA"/>
    <w:rsid w:val="00D94F19"/>
    <w:rsid w:val="00D977BA"/>
    <w:rsid w:val="00DE3330"/>
    <w:rsid w:val="00DE430A"/>
    <w:rsid w:val="00E165C8"/>
    <w:rsid w:val="00E530B5"/>
    <w:rsid w:val="00E63BCC"/>
    <w:rsid w:val="00ED30F5"/>
    <w:rsid w:val="00F058C8"/>
    <w:rsid w:val="00F11A34"/>
    <w:rsid w:val="00FE57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C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unhideWhenUsed/>
    <w:rsid w:val="00E63BCC"/>
    <w:pPr>
      <w:spacing w:after="0" w:line="240" w:lineRule="auto"/>
    </w:pPr>
    <w:rPr>
      <w:sz w:val="24"/>
      <w:szCs w:val="24"/>
    </w:rPr>
  </w:style>
  <w:style w:type="character" w:customStyle="1" w:styleId="a4">
    <w:name w:val="Текст концевой сноски Знак"/>
    <w:basedOn w:val="a0"/>
    <w:link w:val="a3"/>
    <w:uiPriority w:val="99"/>
    <w:rsid w:val="00E63BCC"/>
    <w:rPr>
      <w:sz w:val="24"/>
      <w:szCs w:val="24"/>
    </w:rPr>
  </w:style>
  <w:style w:type="character" w:styleId="a5">
    <w:name w:val="endnote reference"/>
    <w:basedOn w:val="a0"/>
    <w:uiPriority w:val="99"/>
    <w:unhideWhenUsed/>
    <w:rsid w:val="00E63BCC"/>
    <w:rPr>
      <w:vertAlign w:val="superscript"/>
    </w:rPr>
  </w:style>
  <w:style w:type="paragraph" w:styleId="a6">
    <w:name w:val="footnote text"/>
    <w:basedOn w:val="a"/>
    <w:link w:val="a7"/>
    <w:uiPriority w:val="99"/>
    <w:unhideWhenUsed/>
    <w:rsid w:val="00E63BCC"/>
    <w:pPr>
      <w:spacing w:after="0" w:line="240" w:lineRule="auto"/>
    </w:pPr>
    <w:rPr>
      <w:sz w:val="24"/>
      <w:szCs w:val="24"/>
    </w:rPr>
  </w:style>
  <w:style w:type="character" w:customStyle="1" w:styleId="a7">
    <w:name w:val="Текст сноски Знак"/>
    <w:basedOn w:val="a0"/>
    <w:link w:val="a6"/>
    <w:uiPriority w:val="99"/>
    <w:rsid w:val="00E63BCC"/>
    <w:rPr>
      <w:sz w:val="24"/>
      <w:szCs w:val="24"/>
    </w:rPr>
  </w:style>
  <w:style w:type="character" w:styleId="a8">
    <w:name w:val="footnote reference"/>
    <w:basedOn w:val="a0"/>
    <w:uiPriority w:val="99"/>
    <w:unhideWhenUsed/>
    <w:rsid w:val="00E63BCC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7B6D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B6D53"/>
  </w:style>
  <w:style w:type="paragraph" w:styleId="ab">
    <w:name w:val="footer"/>
    <w:basedOn w:val="a"/>
    <w:link w:val="ac"/>
    <w:uiPriority w:val="99"/>
    <w:unhideWhenUsed/>
    <w:rsid w:val="007B6D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B6D53"/>
  </w:style>
  <w:style w:type="character" w:customStyle="1" w:styleId="fontstyle01">
    <w:name w:val="fontstyle01"/>
    <w:basedOn w:val="a0"/>
    <w:rsid w:val="0093416A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C504722-E868-447D-8B5B-932F20B11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2026-10-16T11:27:00Z</dcterms:created>
  <dcterms:modified xsi:type="dcterms:W3CDTF">2026-10-16T11:27:00Z</dcterms:modified>
</cp:coreProperties>
</file>