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08"/>
        <w:tblW w:w="0" w:type="auto"/>
        <w:tblLayout w:type="fixed"/>
        <w:tblLook w:val="04A0" w:firstRow="1" w:lastRow="0" w:firstColumn="1" w:lastColumn="0" w:noHBand="0" w:noVBand="1"/>
      </w:tblPr>
      <w:tblGrid>
        <w:gridCol w:w="6378"/>
        <w:gridCol w:w="3827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378" w:type="dxa"/>
            <w:textDirection w:val="lrTb"/>
            <w:noWrap w:val="false"/>
          </w:tcPr>
          <w:p>
            <w:pPr>
              <w:pStyle w:val="905"/>
              <w:jc w:val="both"/>
              <w:rPr>
                <w:rFonts w:ascii="Times New Roman" w:hAnsi="Times New Roman" w:cs="Times New Roman" w:eastAsia="Times New Roman" w:hint="default"/>
                <w:b/>
                <w:highlight w:val="none"/>
              </w:rPr>
            </w:pPr>
            <w:r>
              <w:rPr>
                <w:rFonts w:ascii="Times New Roman" w:hAnsi="Times New Roman" w:cs="Times New Roman" w:eastAsia="Times New Roman" w:hint="default"/>
                <w:b/>
                <w:color w:val="000000"/>
                <w:sz w:val="28"/>
                <w:u w:val="single"/>
              </w:rPr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highlight w:val="none"/>
              </w:rPr>
              <w:t xml:space="preserve">№ </w:t>
            </w:r>
            <w:r>
              <w:rPr>
                <w:rFonts w:ascii="Times New Roman" w:hAnsi="Times New Roman" w:cs="Times New Roman" w:eastAsia="Times New Roman" w:hint="default"/>
                <w:b/>
                <w:color w:val="000000"/>
                <w:sz w:val="28"/>
                <w:u w:val="single"/>
              </w:rPr>
              <w:t xml:space="preserve">28-01-06/1507</w:t>
            </w:r>
            <w:r>
              <w:rPr>
                <w:rFonts w:ascii="Times New Roman" w:hAnsi="Times New Roman" w:cs="Times New Roman" w:eastAsia="Times New Roman" w:hint="default"/>
                <w:b/>
                <w:sz w:val="28"/>
                <w:u w:val="single"/>
              </w:rPr>
              <w:t xml:space="preserve"> </w:t>
            </w:r>
            <w:r>
              <w:rPr>
                <w:b/>
              </w:rPr>
            </w:r>
            <w:r/>
          </w:p>
          <w:p>
            <w:pPr>
              <w:pStyle w:val="905"/>
              <w:rPr>
                <w:rFonts w:ascii="Times New Roman" w:hAnsi="Times New Roman" w:cs="Times New Roman" w:eastAsia="Times New Roman" w:hint="default"/>
                <w:highlight w:val="none"/>
              </w:rPr>
            </w:pPr>
            <w:r>
              <w:rPr>
                <w:rFonts w:ascii="Times New Roman" w:hAnsi="Times New Roman" w:cs="Times New Roman" w:eastAsia="Times New Roman" w:hint="default"/>
                <w:b/>
                <w:sz w:val="24"/>
                <w:highlight w:val="none"/>
                <w:u w:val="single"/>
              </w:rPr>
              <w:t xml:space="preserve">Бірегей код: </w:t>
            </w:r>
            <w:r>
              <w:rPr>
                <w:rFonts w:ascii="Times New Roman" w:hAnsi="Times New Roman" w:cs="Times New Roman" w:eastAsia="Times New Roman" w:hint="default"/>
                <w:b/>
                <w:color w:val="000000"/>
                <w:sz w:val="24"/>
                <w:u w:val="none"/>
              </w:rPr>
              <w:t xml:space="preserve">1986C854F4264088</w:t>
            </w:r>
            <w:r>
              <w:rPr>
                <w:rFonts w:ascii="Times New Roman" w:hAnsi="Times New Roman" w:cs="Times New Roman" w:eastAsia="Times New Roman" w:hint="default"/>
                <w:sz w:val="24"/>
              </w:rPr>
              <w:t xml:space="preserve"> </w:t>
            </w:r>
            <w:r>
              <w:rPr>
                <w:rFonts w:ascii="Times New Roman" w:hAnsi="Times New Roman" w:cs="Times New Roman" w:eastAsia="Times New Roman" w:hint="default"/>
                <w:b/>
                <w:sz w:val="28"/>
                <w:highlight w:val="none"/>
              </w:rPr>
            </w:r>
            <w:r/>
          </w:p>
          <w:p>
            <w:pPr>
              <w:pStyle w:val="905"/>
              <w:jc w:val="both"/>
              <w:rPr>
                <w:rFonts w:ascii="Times New Roman" w:hAnsi="Times New Roman" w:cs="Times New Roman" w:eastAsia="Times New Roman"/>
                <w:color w:val="000000"/>
                <w:highlight w:val="none"/>
              </w:rPr>
            </w:pPr>
            <w:r>
              <w:rPr>
                <w:rFonts w:ascii="Times New Roman" w:hAnsi="Times New Roman" w:cs="Times New Roman" w:eastAsia="Times New Roman" w:hint="default"/>
                <w:sz w:val="28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color w:val="000000"/>
                <w:highlight w:val="no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27" w:type="dxa"/>
            <w:textDirection w:val="lrTb"/>
            <w:noWrap w:val="false"/>
          </w:tcPr>
          <w:p>
            <w:pPr>
              <w:pStyle w:val="905"/>
              <w:jc w:val="both"/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9"/>
              </w:rPr>
              <w:t xml:space="preserve">Бекітемін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9"/>
              </w:rPr>
            </w:r>
            <w:r/>
          </w:p>
          <w:p>
            <w:pPr>
              <w:pStyle w:val="905"/>
              <w:jc w:val="both"/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9"/>
              </w:rPr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«Қазгидромет» РМК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</w:r>
            <w:r/>
          </w:p>
          <w:p>
            <w:pPr>
              <w:pStyle w:val="905"/>
              <w:jc w:val="both"/>
              <w:rPr>
                <w:rFonts w:ascii="Times New Roman" w:hAnsi="Times New Roman" w:cs="Times New Roman" w:eastAsia="Times New Roman"/>
                <w:color w:val="000000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Қостанай облысы бойынша филиалының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директоры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9"/>
                <w:highlight w:val="none"/>
              </w:rPr>
            </w:r>
            <w:r/>
          </w:p>
          <w:p>
            <w:pPr>
              <w:pStyle w:val="905"/>
              <w:jc w:val="both"/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___________  А. Ахметов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</w:r>
            <w:r/>
          </w:p>
          <w:p>
            <w:pPr>
              <w:pStyle w:val="905"/>
              <w:jc w:val="both"/>
              <w:rPr>
                <w:rFonts w:ascii="Calibri" w:hAnsi="Calibri" w:cs="Calibri" w:eastAsia="Calibri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 w:hint="default"/>
                <w:b/>
                <w:color w:val="000000"/>
                <w:sz w:val="28"/>
                <w:u w:val="single"/>
              </w:rPr>
              <w:t xml:space="preserve">12.10.2026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 ж.</w:t>
            </w:r>
            <w:r>
              <w:rPr>
                <w:rFonts w:ascii="Calibri" w:hAnsi="Calibri" w:cs="Calibri" w:eastAsia="Calibri"/>
                <w:sz w:val="22"/>
              </w:rPr>
            </w:r>
            <w:r/>
          </w:p>
        </w:tc>
      </w:tr>
    </w:tbl>
    <w:p>
      <w:pPr>
        <w:pStyle w:val="905"/>
        <w:jc w:val="both"/>
        <w:rPr>
          <w:rFonts w:ascii="Calibri" w:hAnsi="Calibri" w:cs="Calibri" w:eastAsia="Calibri"/>
        </w:rPr>
      </w:pPr>
      <w:r>
        <w:rPr>
          <w:rFonts w:ascii="Times New Roman" w:hAnsi="Times New Roman" w:cs="Times New Roman" w:eastAsia="Times New Roman"/>
          <w:b/>
          <w:color w:val="000000"/>
          <w:sz w:val="29"/>
          <w:highlight w:val="none"/>
        </w:rPr>
      </w:r>
      <w:r>
        <w:rPr>
          <w:rFonts w:ascii="Calibri" w:hAnsi="Calibri" w:cs="Calibri" w:eastAsia="Calibri"/>
          <w:sz w:val="22"/>
        </w:rPr>
      </w:r>
      <w:r/>
    </w:p>
    <w:p>
      <w:pPr>
        <w:pStyle w:val="905"/>
        <w:jc w:val="both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 </w:t>
      </w:r>
      <w:r/>
    </w:p>
    <w:p>
      <w:pPr>
        <w:contextualSpacing w:val="0"/>
        <w:ind w:left="0" w:right="0" w:firstLine="0"/>
        <w:jc w:val="center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Автоматты газдануды бақылау жүйесін (САКЗ) салыстырып тексеру</w:t>
      </w:r>
      <w:r>
        <w:rPr>
          <w:rFonts w:ascii="Times New Roman" w:hAnsi="Times New Roman" w:cs="Times New Roman" w:eastAsia="Times New Roman"/>
          <w:b/>
          <w:sz w:val="28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қызметтеріне техникалық ерекшелік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905"/>
        <w:jc w:val="both"/>
      </w:pPr>
      <w:r/>
      <w:r/>
    </w:p>
    <w:p>
      <w:pPr>
        <w:pStyle w:val="905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ind w:left="709" w:right="0" w:firstLine="0"/>
        <w:jc w:val="both"/>
        <w:rPr>
          <w:rFonts w:ascii="Times New Roman" w:hAnsi="Times New Roman" w:cs="Times New Roman" w:eastAsia="Times New Roman"/>
          <w:b w:val="0"/>
          <w:sz w:val="28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Қызметтің атауы: </w:t>
      </w:r>
      <w:r>
        <w:rPr>
          <w:rFonts w:ascii="Times New Roman" w:hAnsi="Times New Roman" w:cs="Times New Roman" w:eastAsia="Times New Roman"/>
          <w:b w:val="0"/>
          <w:color w:val="000000"/>
          <w:sz w:val="28"/>
        </w:rPr>
        <w:t xml:space="preserve">Автоматты газдануды бақылау жүйесін (САКЗ) салыстырып тексеру қызметтері.</w:t>
      </w:r>
      <w:r>
        <w:rPr>
          <w:rFonts w:ascii="Times New Roman" w:hAnsi="Times New Roman" w:cs="Times New Roman" w:eastAsia="Times New Roman"/>
          <w:b w:val="0"/>
          <w:sz w:val="28"/>
        </w:rPr>
      </w:r>
      <w:r/>
    </w:p>
    <w:p>
      <w:pPr>
        <w:pStyle w:val="905"/>
        <w:ind w:left="709" w:right="0" w:firstLine="0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Өлшем бірлігі: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қызмет.</w:t>
      </w:r>
      <w:r/>
    </w:p>
    <w:p>
      <w:pPr>
        <w:pStyle w:val="905"/>
        <w:ind w:left="709" w:right="0" w:firstLine="0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Саны (көлемі):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1.</w:t>
      </w:r>
      <w:r/>
    </w:p>
    <w:p>
      <w:pPr>
        <w:pStyle w:val="905"/>
        <w:ind w:left="709" w:right="0" w:firstLine="0"/>
        <w:jc w:val="both"/>
        <w:rPr>
          <w:b w:val="0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Қызмет көрсету мерзімі:</w:t>
      </w:r>
      <w:r>
        <w:rPr>
          <w:rFonts w:ascii="Times New Roman" w:hAnsi="Times New Roman" w:cs="Times New Roman" w:eastAsia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 w:cs="Times New Roman" w:eastAsia="Times New Roman"/>
          <w:b w:val="0"/>
          <w:color w:val="000000"/>
          <w:sz w:val="28"/>
        </w:rPr>
        <w:t xml:space="preserve">Тапсырыс берушінің өтінімі бойынша күнтізбелік 30 күн ішінде.</w:t>
      </w:r>
      <w:r>
        <w:rPr>
          <w:b w:val="0"/>
        </w:rPr>
      </w:r>
      <w:r/>
    </w:p>
    <w:p>
      <w:pPr>
        <w:pStyle w:val="905"/>
        <w:ind w:left="0" w:right="0" w:firstLine="709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Қызмет көрсету орны: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Қостанай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қаласы,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Досжанов көшесі, 43.</w:t>
      </w:r>
      <w:r/>
    </w:p>
    <w:p>
      <w:pPr>
        <w:pStyle w:val="905"/>
        <w:ind w:left="0" w:right="0" w:firstLine="709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Қызметтердің функционалды, техникалық, сапалық, пайдалану сипаттамалары: </w:t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Орындаушы автоматты газдануды бақылау жүйесінің (САКЗ) 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8 сигнализаторына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олардың метрологиялық сипаттамаларын, жұмысқа жарамдылығын және одан әрі пайдалануға жарамдылығын анықтай отырып, салыстырып тексеру жүргізуі тиіс.</w:t>
      </w:r>
      <w:r>
        <w:rPr>
          <w:sz w:val="28"/>
        </w:rPr>
      </w:r>
      <w:r/>
    </w:p>
    <w:p>
      <w:pPr>
        <w:pStyle w:val="850"/>
        <w:contextualSpacing w:val="0"/>
        <w:ind w:left="0" w:right="0" w:firstLine="0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Қызмет құрамына мыналар кіреді: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сигнализаторларды сыртқы қарап-тексеру және техникалық жай-күйін тексеру;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әрбір сигнализатордың жұмысқа жарамдылығын тексеру;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метрологиялық сипаттамаларын тексеру;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СЗ-1-1Ai/05 үлгісіндегі 4 сигнализаторды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салыстырып тексеру; 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СЗ-2-2Ai/05 үлгісіндегі 4 сигнализаторды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салыстырып тексеру; 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бақылаудағы газдың белгіленген шекті концентрацияларына жеткен кезде сигнализаторлардың іске қосылуын тексеру;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жарық және дыбыстық сигнал беруді тексеру;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сигналдың дұрыс берілуін тексеру;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сигнализаторлардың одан әрі пайдалануға жарамдылығын анықтау;</w:t>
      </w:r>
      <w:r>
        <w:rPr>
          <w:sz w:val="28"/>
        </w:rPr>
      </w:r>
      <w:r/>
    </w:p>
    <w:p>
      <w:pPr>
        <w:pStyle w:val="906"/>
        <w:numPr>
          <w:ilvl w:val="0"/>
          <w:numId w:val="58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салыстырып тексеру нәтижелерін ресімдеу.</w:t>
      </w:r>
      <w:r>
        <w:rPr>
          <w:sz w:val="28"/>
        </w:rPr>
      </w:r>
      <w:r/>
    </w:p>
    <w:p>
      <w:pPr>
        <w:pStyle w:val="850"/>
        <w:contextualSpacing w:val="0"/>
        <w:ind w:left="0" w:right="0" w:firstLine="708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Нәтижеге қойылатын талаптар</w:t>
      </w:r>
      <w:r>
        <w:rPr>
          <w:sz w:val="28"/>
        </w:rPr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Қызмет көрсету нәтижелері бойынша Орындаушы 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барлық 8 сигнализатордың салыстырып тексеруден өткенін растайтын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, салыстырып тексеру нәтижелері мен келесі салыстырып тексеру мерзімі көрсетілген құжаттарды ұсынуы тиіс.</w:t>
      </w:r>
      <w:r>
        <w:rPr>
          <w:sz w:val="28"/>
        </w:rPr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Салыстырып тексеру Қазақстан Республикасының қолданыстағы нормативтік талаптарына және өлшем құралдарының тиісті түріне арналған бекітілген салыстырып тексеру әдістемесіне сәйкес жүргізілуі тиіс.</w:t>
      </w:r>
      <w:r>
        <w:rPr>
          <w:sz w:val="28"/>
        </w:rPr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Қызмет көрсету орны: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Тапсырыс берушінің жабдықтары орнатылған жер бойынша.</w:t>
      </w:r>
      <w:r>
        <w:rPr>
          <w:sz w:val="28"/>
        </w:rPr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 w:val="0"/>
          <w:color w:val="000000"/>
          <w:sz w:val="28"/>
        </w:rPr>
        <w:t xml:space="preserve">Қызмет құны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8 сигнализаторды салыстырып тексеруге, салыстырып тексеру жабдықтарын пайдалануға, мамандардың объектіге келуіне және тиісті құжаттарды ресімдеуге байланысты Орындаушының барлық шығындарын қамтуы тиіс.</w:t>
      </w:r>
      <w:r>
        <w:rPr>
          <w:sz w:val="28"/>
        </w:rPr>
      </w:r>
      <w:r/>
    </w:p>
    <w:p>
      <w:pPr>
        <w:pStyle w:val="905"/>
        <w:ind w:left="0" w:right="0" w:firstLine="0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ind w:left="0" w:right="0" w:firstLine="0"/>
        <w:jc w:val="both"/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pPr>
      <w:r>
        <w:rPr>
          <w:rFonts w:ascii="Times New Roman" w:hAnsi="Times New Roman" w:cs="Times New Roman" w:eastAsia="Times New Roman"/>
          <w:color w:val="000000"/>
          <w:sz w:val="28"/>
        </w:rPr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Құрастырды:</w:t>
      </w:r>
      <w:r/>
    </w:p>
    <w:p>
      <w:pPr>
        <w:pStyle w:val="905"/>
        <w:ind w:left="0" w:right="0" w:firstLine="0"/>
        <w:jc w:val="both"/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tbl>
      <w:tblPr>
        <w:tblStyle w:val="908"/>
        <w:tblW w:w="10205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244"/>
        <w:gridCol w:w="2698"/>
        <w:gridCol w:w="226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244" w:type="dxa"/>
            <w:vAlign w:val="top"/>
            <w:textDirection w:val="lrTb"/>
            <w:noWrap w:val="false"/>
          </w:tcPr>
          <w:p>
            <w:pPr>
              <w:pStyle w:val="905"/>
              <w:jc w:val="both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Директордың орынбасары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98" w:type="dxa"/>
            <w:vAlign w:val="top"/>
            <w:textDirection w:val="lrTb"/>
            <w:noWrap w:val="false"/>
          </w:tcPr>
          <w:p>
            <w:pPr>
              <w:pStyle w:val="905"/>
              <w:jc w:val="both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sz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63" w:type="dxa"/>
            <w:vAlign w:val="top"/>
            <w:textDirection w:val="lrTb"/>
            <w:noWrap w:val="false"/>
          </w:tcPr>
          <w:p>
            <w:pPr>
              <w:pStyle w:val="905"/>
              <w:jc w:val="right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А. Кабаков</w:t>
            </w:r>
            <w:r/>
          </w:p>
        </w:tc>
      </w:tr>
    </w:tbl>
    <w:p>
      <w:pPr>
        <w:pStyle w:val="905"/>
        <w:jc w:val="both"/>
        <w:rPr>
          <w:rFonts w:ascii="Calibri" w:hAnsi="Calibri" w:cs="Calibri" w:eastAsia="Calibri"/>
        </w:rPr>
      </w:pPr>
      <w:r>
        <w:rPr>
          <w:rFonts w:ascii="Calibri" w:hAnsi="Calibri" w:cs="Calibri" w:eastAsia="Calibri"/>
        </w:rPr>
      </w:r>
      <w:r>
        <w:rPr>
          <w:rFonts w:ascii="Calibri" w:hAnsi="Calibri" w:cs="Calibri" w:eastAsia="Calibri"/>
        </w:rPr>
      </w:r>
      <w:r/>
    </w:p>
    <w:tbl>
      <w:tblPr>
        <w:tblStyle w:val="908"/>
        <w:tblW w:w="0" w:type="auto"/>
        <w:tblLook w:val="04A0" w:firstRow="1" w:lastRow="0" w:firstColumn="1" w:lastColumn="0" w:noHBand="0" w:noVBand="1"/>
      </w:tblPr>
      <w:tblGrid>
        <w:gridCol w:w="1458"/>
        <w:gridCol w:w="1458"/>
        <w:gridCol w:w="1458"/>
        <w:gridCol w:w="1458"/>
        <w:gridCol w:w="1458"/>
        <w:gridCol w:w="1458"/>
        <w:gridCol w:w="1458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2" name="Picture 1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3" name="Picture 2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4" name="Picture 3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5" name="Picture 4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6" name="Picture 5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7" name="Picture 6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8" name="Picture 7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</w:tr>
    </w:tbl>
    <w:p>
      <w:pPr>
        <w:pStyle w:val="905"/>
        <w:jc w:val="both"/>
        <w:rPr>
          <w:rFonts w:ascii="Calibri" w:hAnsi="Calibri" w:cs="Calibri" w:eastAsia="Calibri"/>
        </w:rPr>
      </w:pPr>
      <w:r>
        <w:rPr>
          <w:rFonts w:ascii="Calibri" w:hAnsi="Calibri" w:cs="Calibri" w:eastAsia="Calibri"/>
          <w:sz w:val="22"/>
        </w:rPr>
      </w:r>
      <w:r>
        <w:rPr>
          <w:rFonts w:ascii="Calibri" w:hAnsi="Calibri" w:cs="Calibri" w:eastAsia="Calibri"/>
          <w:sz w:val="22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sz w:val="20"/>
        </w:rPr>
      </w:pPr>
      <w:r>
        <w:rPr>
          <w:rFonts w:ascii="Times New Roman" w:hAnsi="Times New Roman" w:cs="Times New Roman" w:eastAsia="Times New Roman"/>
          <w:sz w:val="20"/>
        </w:rPr>
        <w:t xml:space="preserve">Издатель ЭЦП - ҰЛТТЫҚ</w:t>
      </w:r>
      <w:r>
        <w:rPr>
          <w:rFonts w:ascii="Times New Roman" w:hAnsi="Times New Roman" w:cs="Times New Roman" w:eastAsia="Times New Roman"/>
          <w:sz w:val="20"/>
        </w:rPr>
        <w:t xml:space="preserve"> КУӘЛАНДЫРУШЫ ОРТАЛЫҚ (GOST) 2022, КАБАКОВ АЛТЫНБЕК,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области, BIN120841015383</w:t>
      </w:r>
      <w:r>
        <w:rPr>
          <w:sz w:val="20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sz w:val="20"/>
          <w:highlight w:val="none"/>
        </w:rPr>
      </w:pPr>
      <w:r>
        <w:rPr>
          <w:rFonts w:ascii="Times New Roman" w:hAnsi="Times New Roman" w:cs="Times New Roman" w:eastAsia="Times New Roman"/>
          <w:sz w:val="20"/>
          <w:highlight w:val="none"/>
        </w:rPr>
      </w:r>
      <w:r>
        <w:rPr>
          <w:rFonts w:ascii="Times New Roman" w:hAnsi="Times New Roman" w:cs="Times New Roman" w:eastAsia="Times New Roman"/>
          <w:sz w:val="20"/>
        </w:rPr>
        <w:t xml:space="preserve">https://sed.kazhydromet.kz/document/1986C854F4264088</w:t>
      </w:r>
      <w:r>
        <w:rPr>
          <w:rFonts w:ascii="Times New Roman" w:hAnsi="Times New Roman" w:cs="Times New Roman" w:eastAsia="Times New Roman"/>
          <w:sz w:val="20"/>
          <w:highlight w:val="none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color w:val="000000"/>
          <w:highlight w:val="none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color w:val="000000"/>
          <w:highlight w:val="none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Келісілді:</w:t>
        <w:tab/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color w:val="000000"/>
          <w:highlight w:val="none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highlight w:val="none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highlight w:val="none"/>
        </w:rPr>
      </w:r>
      <w:r/>
    </w:p>
    <w:tbl>
      <w:tblPr>
        <w:tblStyle w:val="1035"/>
        <w:tblW w:w="0" w:type="auto"/>
        <w:tblLook w:val="04A0" w:firstRow="1" w:lastRow="0" w:firstColumn="1" w:lastColumn="0" w:noHBand="0" w:noVBand="1"/>
      </w:tblPr>
      <w:tblGrid>
        <w:gridCol w:w="2551"/>
        <w:gridCol w:w="2551"/>
        <w:gridCol w:w="2551"/>
        <w:gridCol w:w="2551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  <w:b/>
              </w:rPr>
              <w:t xml:space="preserve">ФИО, подразделение, 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  <w:b/>
              </w:rPr>
              <w:t xml:space="preserve">Тип действия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  <w:b/>
              </w:rPr>
              <w:t xml:space="preserve">Дата и время согласования или подписания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  <w:b/>
              </w:rPr>
              <w:t xml:space="preserve">Данные по ЭЦП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Бакуш Н.Г. - Начальник - Отдел гидрометерологического мониторинга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Согласовано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09.10.2026 07:59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БАКУШ НАТАЛЬЯ,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Тулегенова Л.Т. - Начальник отдела - Финансово-административный отдел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Согласовано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08.10.2026 20:03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ТУЛЕГЕНОВА ЛАЗЗАТ,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Ахметов А.Т. - Специалист юрист-госзакупщик - Финансово-административный отдел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Согласовано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09.10.2026 10:47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АХМЕТОВ АСКАР,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Курмангалиев И.Х. - Специалист по хоз.деятельности - Финансово-административный отдел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Согласовано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09.10.2026 08:14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КУРМАНГАЛИЕВ ИЛЬЯС,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Кабаков А.Б. - Заместитель директора - Руководство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Подписано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12.10.2026 18:13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КАБАКОВ АЛТЫНБЕК,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Ахметов А.С. - Директор - Руководство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Утверждено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12.10.2026 18:23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АХМЕТОВ АДЕЛЬ,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</w:tbl>
    <w:p>
      <w:pPr>
        <w:pStyle w:val="905"/>
        <w:jc w:val="both"/>
      </w:pPr>
      <w:r>
        <w:rPr>
          <w:rFonts w:ascii="Times New Roman" w:hAnsi="Times New Roman" w:cs="Times New Roman" w:eastAsia="Times New Roman" w:hint="default"/>
          <w:sz w:val="28"/>
          <w:highlight w:val="none"/>
        </w:rPr>
      </w:r>
      <w:r/>
    </w:p>
    <w:p>
      <w:pPr>
        <w:pStyle w:val="905"/>
        <w:jc w:val="both"/>
        <w:rPr>
          <w:rFonts w:ascii="Calibri" w:hAnsi="Calibri" w:cs="Calibri" w:eastAsia="Calibri"/>
        </w:rPr>
      </w:pPr>
      <w:r>
        <w:rPr>
          <w:rFonts w:ascii="Times New Roman" w:hAnsi="Times New Roman" w:cs="Times New Roman" w:eastAsia="Times New Roman"/>
          <w:color w:val="000000"/>
          <w:sz w:val="32"/>
          <w:highlight w:val="none"/>
        </w:rPr>
      </w:r>
      <w:r>
        <w:rPr>
          <w:rFonts w:ascii="Calibri" w:hAnsi="Calibri" w:cs="Calibri" w:eastAsia="Calibri"/>
          <w:sz w:val="22"/>
        </w:rPr>
      </w:r>
      <w:r/>
    </w:p>
    <w:p>
      <w:pPr>
        <w:pStyle w:val="905"/>
        <w:jc w:val="both"/>
      </w:pPr>
      <w:r>
        <w:rPr>
          <w:sz w:val="28"/>
        </w:rPr>
        <w:br w:type="page" w:clear="all"/>
      </w:r>
      <w:r>
        <w:rPr>
          <w:sz w:val="28"/>
        </w:rPr>
      </w:r>
      <w:r/>
    </w:p>
    <w:tbl>
      <w:tblPr>
        <w:tblStyle w:val="908"/>
        <w:tblW w:w="0" w:type="auto"/>
        <w:tblLayout w:type="fixed"/>
        <w:tblLook w:val="04A0" w:firstRow="1" w:lastRow="0" w:firstColumn="1" w:lastColumn="0" w:noHBand="0" w:noVBand="1"/>
      </w:tblPr>
      <w:tblGrid>
        <w:gridCol w:w="6094"/>
        <w:gridCol w:w="4111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094" w:type="dxa"/>
            <w:textDirection w:val="lrTb"/>
            <w:noWrap w:val="false"/>
          </w:tcPr>
          <w:p>
            <w:pPr>
              <w:pStyle w:val="905"/>
              <w:jc w:val="both"/>
              <w:rPr>
                <w:rFonts w:ascii="Times New Roman" w:hAnsi="Times New Roman" w:cs="Times New Roman" w:eastAsia="Times New Roman" w:hint="default"/>
                <w:b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highlight w:val="none"/>
              </w:rPr>
              <w:t xml:space="preserve">№ </w:t>
            </w:r>
            <w:r>
              <w:rPr>
                <w:rFonts w:ascii="Times New Roman" w:hAnsi="Times New Roman" w:cs="Times New Roman" w:eastAsia="Times New Roman" w:hint="default"/>
                <w:b/>
                <w:color w:val="000000"/>
                <w:sz w:val="28"/>
                <w:u w:val="single"/>
              </w:rPr>
              <w:t xml:space="preserve">28-01-06/1507</w:t>
            </w:r>
            <w:r>
              <w:rPr>
                <w:rFonts w:ascii="Times New Roman" w:hAnsi="Times New Roman" w:cs="Times New Roman" w:eastAsia="Times New Roman" w:hint="default"/>
                <w:b/>
                <w:sz w:val="28"/>
                <w:u w:val="single"/>
              </w:rPr>
              <w:t xml:space="preserve"> </w:t>
            </w:r>
            <w:r>
              <w:rPr>
                <w:b/>
              </w:rPr>
            </w:r>
            <w:r/>
          </w:p>
          <w:p>
            <w:pPr>
              <w:pStyle w:val="905"/>
              <w:rPr>
                <w:rFonts w:ascii="Times New Roman" w:hAnsi="Times New Roman" w:cs="Times New Roman" w:eastAsia="Times New Roman" w:hint="default"/>
                <w:highlight w:val="none"/>
              </w:rPr>
            </w:pPr>
            <w:r>
              <w:rPr>
                <w:rFonts w:ascii="Times New Roman" w:hAnsi="Times New Roman" w:cs="Times New Roman" w:eastAsia="Times New Roman" w:hint="default"/>
                <w:b/>
                <w:sz w:val="24"/>
                <w:highlight w:val="none"/>
                <w:u w:val="single"/>
              </w:rPr>
            </w:r>
            <w:r>
              <w:rPr>
                <w:rFonts w:ascii="Times New Roman" w:hAnsi="Times New Roman" w:cs="Times New Roman" w:eastAsia="Times New Roman" w:hint="default"/>
                <w:b/>
                <w:color w:val="000000"/>
                <w:sz w:val="24"/>
                <w:u w:val="none"/>
              </w:rPr>
              <w:t xml:space="preserve">Уникальный </w:t>
            </w:r>
            <w:r>
              <w:rPr>
                <w:rFonts w:ascii="Times New Roman" w:hAnsi="Times New Roman" w:cs="Times New Roman" w:eastAsia="Times New Roman" w:hint="default"/>
                <w:b/>
                <w:sz w:val="24"/>
                <w:highlight w:val="none"/>
                <w:u w:val="single"/>
              </w:rPr>
              <w:t xml:space="preserve">код: </w:t>
            </w:r>
            <w:r>
              <w:rPr>
                <w:rFonts w:ascii="Times New Roman" w:hAnsi="Times New Roman" w:cs="Times New Roman" w:eastAsia="Times New Roman" w:hint="default"/>
                <w:b/>
                <w:color w:val="000000"/>
                <w:sz w:val="24"/>
                <w:u w:val="none"/>
              </w:rPr>
              <w:t xml:space="preserve">1986C854F4264088</w:t>
            </w:r>
            <w:r>
              <w:rPr>
                <w:rFonts w:ascii="Times New Roman" w:hAnsi="Times New Roman" w:cs="Times New Roman" w:eastAsia="Times New Roman" w:hint="default"/>
                <w:sz w:val="24"/>
              </w:rPr>
              <w:t xml:space="preserve"> </w:t>
            </w:r>
            <w:r>
              <w:rPr>
                <w:rFonts w:ascii="Times New Roman" w:hAnsi="Times New Roman" w:cs="Times New Roman" w:eastAsia="Times New Roman" w:hint="default"/>
                <w:b/>
                <w:sz w:val="28"/>
                <w:highlight w:val="none"/>
              </w:rPr>
            </w:r>
            <w:r/>
          </w:p>
          <w:p>
            <w:pPr>
              <w:pStyle w:val="905"/>
              <w:jc w:val="both"/>
              <w:rPr>
                <w:rFonts w:ascii="Times New Roman" w:hAnsi="Times New Roman" w:cs="Times New Roman" w:eastAsia="Times New Roman"/>
                <w:color w:val="000000"/>
                <w:highlight w:val="none"/>
              </w:rPr>
            </w:pPr>
            <w:r>
              <w:rPr>
                <w:rFonts w:ascii="Times New Roman" w:hAnsi="Times New Roman" w:cs="Times New Roman" w:eastAsia="Times New Roman" w:hint="default"/>
                <w:sz w:val="28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highlight w:val="no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11" w:type="dxa"/>
            <w:textDirection w:val="lrTb"/>
            <w:noWrap w:val="false"/>
          </w:tcPr>
          <w:p>
            <w:pPr>
              <w:pStyle w:val="905"/>
              <w:jc w:val="both"/>
              <w:rPr>
                <w:rFonts w:ascii="Times New Roman" w:hAnsi="Times New Roman" w:cs="Times New Roman" w:eastAsia="Times New Roman"/>
                <w:color w:val="000000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Утверждаю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highlight w:val="none"/>
              </w:rPr>
            </w:r>
            <w:r/>
          </w:p>
          <w:p>
            <w:pPr>
              <w:pStyle w:val="905"/>
              <w:jc w:val="both"/>
              <w:rPr>
                <w:rFonts w:ascii="Times New Roman" w:hAnsi="Times New Roman" w:cs="Times New Roman" w:eastAsia="Times New Roman"/>
                <w:color w:val="000000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Директор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</w:r>
            <w:r/>
          </w:p>
          <w:p>
            <w:pPr>
              <w:pStyle w:val="905"/>
              <w:jc w:val="both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филиала РГП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«Казгидромет» по Костанайской области</w:t>
            </w:r>
            <w:r>
              <w:rPr>
                <w:sz w:val="28"/>
              </w:rPr>
            </w:r>
            <w:r/>
          </w:p>
          <w:p>
            <w:pPr>
              <w:pStyle w:val="905"/>
              <w:jc w:val="both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____________  А. Ахметов</w:t>
            </w:r>
            <w:r>
              <w:rPr>
                <w:sz w:val="28"/>
              </w:rPr>
            </w:r>
            <w:r/>
          </w:p>
          <w:p>
            <w:pPr>
              <w:pStyle w:val="905"/>
              <w:jc w:val="both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 w:hint="default"/>
                <w:b/>
                <w:color w:val="000000"/>
                <w:sz w:val="28"/>
                <w:u w:val="single"/>
              </w:rPr>
              <w:t xml:space="preserve">12.10.2026</w:t>
            </w:r>
            <w:r>
              <w:rPr>
                <w:rFonts w:ascii="Times New Roman" w:hAnsi="Times New Roman" w:cs="Times New Roman" w:eastAsia="Times New Roman" w:hint="default"/>
                <w:b/>
                <w:sz w:val="28"/>
                <w:u w:val="none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  <w:highlight w:val="none"/>
                <w:u w:val="none"/>
              </w:rPr>
              <w:t xml:space="preserve">г.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</w:r>
            <w:r/>
          </w:p>
        </w:tc>
      </w:tr>
    </w:tbl>
    <w:p>
      <w:pPr>
        <w:pStyle w:val="905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>
        <w:rPr>
          <w:sz w:val="22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color w:val="000000"/>
          <w:highlight w:val="none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jc w:val="center"/>
        <w:rPr>
          <w:rFonts w:ascii="Times New Roman" w:hAnsi="Times New Roman" w:cs="Times New Roman" w:eastAsia="Times New Roman"/>
          <w:color w:val="000000"/>
          <w:highlight w:val="none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Техническая спецификация государственных закупок </w:t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jc w:val="center"/>
        <w:rPr>
          <w:b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услуги по поверки системы автоматического контроля загазованности (САКЗ)</w:t>
      </w:r>
      <w:r>
        <w:rPr>
          <w:rFonts w:ascii="Times New Roman" w:hAnsi="Times New Roman" w:cs="Times New Roman" w:eastAsia="Times New Roman"/>
          <w:b/>
          <w:color w:val="000000"/>
          <w:sz w:val="28"/>
        </w:rPr>
      </w:r>
      <w:r/>
    </w:p>
    <w:p>
      <w:pPr>
        <w:pStyle w:val="905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color w:val="000000"/>
          <w:highlight w:val="none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ind w:left="709" w:right="0" w:firstLine="0"/>
        <w:jc w:val="both"/>
        <w:rPr>
          <w:b w:val="0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Наименование услуги:</w:t>
      </w:r>
      <w:r>
        <w:rPr>
          <w:rFonts w:ascii="Times New Roman" w:hAnsi="Times New Roman" w:cs="Times New Roman" w:eastAsia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 w:cs="Times New Roman" w:eastAsia="Times New Roman"/>
          <w:b w:val="0"/>
          <w:color w:val="000000"/>
          <w:sz w:val="28"/>
        </w:rPr>
        <w:t xml:space="preserve">Услуги по поверки системы автоматического контроля загазованности (САКЗ)</w:t>
      </w:r>
      <w:r>
        <w:rPr>
          <w:rFonts w:ascii="Times New Roman" w:hAnsi="Times New Roman" w:cs="Times New Roman" w:eastAsia="Times New Roman"/>
          <w:b w:val="0"/>
          <w:color w:val="000000"/>
          <w:sz w:val="28"/>
        </w:rPr>
        <w:t xml:space="preserve">.</w:t>
      </w:r>
      <w:r>
        <w:rPr>
          <w:b w:val="0"/>
        </w:rPr>
      </w:r>
      <w:r/>
    </w:p>
    <w:p>
      <w:pPr>
        <w:pStyle w:val="905"/>
        <w:ind w:left="709" w:right="0" w:firstLine="0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Единица измерения: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Услуга.</w:t>
      </w:r>
      <w:r/>
    </w:p>
    <w:p>
      <w:pPr>
        <w:pStyle w:val="905"/>
        <w:ind w:left="709" w:right="0" w:firstLine="0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Количество (объем):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1.</w:t>
      </w:r>
      <w:r/>
    </w:p>
    <w:p>
      <w:pPr>
        <w:pStyle w:val="905"/>
        <w:ind w:left="709" w:right="0" w:firstLine="0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Срок оказания услуги: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по заявке заказчика в течение 30 календарных дней.</w:t>
      </w:r>
      <w:r>
        <w:rPr>
          <w:rFonts w:ascii="Times New Roman" w:hAnsi="Times New Roman" w:cs="Times New Roman" w:eastAsia="Times New Roman"/>
          <w:color w:val="000000"/>
          <w:sz w:val="28"/>
        </w:rPr>
      </w:r>
      <w:r/>
    </w:p>
    <w:p>
      <w:pPr>
        <w:pStyle w:val="905"/>
        <w:ind w:left="709" w:right="0" w:firstLine="0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Место оказания услуги: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г. Костанай, ул. Дощанова, 43.</w:t>
      </w:r>
      <w:r/>
    </w:p>
    <w:p>
      <w:pPr>
        <w:pStyle w:val="905"/>
        <w:ind w:left="0" w:right="0" w:firstLine="709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Функциональные, технические, качественные, эксплуатационные характеристики услуг: </w:t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Исполнитель должен провести поверку 8 сигнализаторов системы автоматического контроля загазованности (САКЗ) с определением их метрологических характеристик, работоспособности и пригодности к дальнейшей эксплуатации.</w:t>
      </w:r>
      <w:r>
        <w:rPr>
          <w:sz w:val="28"/>
        </w:rPr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В состав услуги входят: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внешний осмотр и проверка технического состояния сигнализаторов;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проверка работоспособности каждого сигнализатора;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проверка метрологических характеристик;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проведение поверки 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4 сигнализаторов СЗ-1-1Ai/05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; 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проведение поверки 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4 сигнализаторов СЗ-2-2Ai/05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; 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проверка срабатывания сигнализаторов при установленных пороговых концентрациях контролируемого газа;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проверка световой и звуковой сигнализации;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проверка правильности выдачи сигнала;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определение пригодности сигнализаторов к дальнейшей эксплуатации;</w:t>
      </w:r>
      <w:r>
        <w:rPr>
          <w:sz w:val="28"/>
        </w:rPr>
      </w:r>
      <w:r/>
    </w:p>
    <w:p>
      <w:pPr>
        <w:pStyle w:val="906"/>
        <w:numPr>
          <w:ilvl w:val="0"/>
          <w:numId w:val="47"/>
        </w:numPr>
        <w:contextualSpacing w:val="0"/>
        <w:ind w:right="0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оформление результатов поверки.</w:t>
      </w:r>
      <w:r>
        <w:rPr>
          <w:sz w:val="28"/>
        </w:rPr>
      </w:r>
      <w:r/>
    </w:p>
    <w:p>
      <w:pPr>
        <w:pStyle w:val="850"/>
        <w:contextualSpacing w:val="0"/>
        <w:ind w:left="0" w:right="0" w:firstLine="708"/>
        <w:jc w:val="both"/>
        <w:spacing w:before="0" w:after="0" w:line="24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Требования к результату</w:t>
      </w:r>
      <w:r>
        <w:rPr>
          <w:sz w:val="28"/>
        </w:rPr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По результатам оказания услуги Исполнитель должен предоставить документы, подтверждающие проведение поверки </w:t>
      </w: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всех 8 сигнализаторов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, с указанием результатов поверки и срока следующей поверки.</w:t>
      </w:r>
      <w:r>
        <w:rPr>
          <w:sz w:val="28"/>
        </w:rPr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Поверка должна проводиться в соответствии с действующими нормативными требованиями Республики Казахстан и утвержденной методикой поверки соответствующего типа средства измерений.</w:t>
      </w:r>
      <w:r>
        <w:rPr>
          <w:sz w:val="28"/>
        </w:rPr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Место оказания услуги: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по месту установки оборудования Заказчика.</w:t>
      </w:r>
      <w:r>
        <w:rPr>
          <w:sz w:val="28"/>
        </w:rPr>
      </w:r>
      <w:r/>
    </w:p>
    <w:p>
      <w:pPr>
        <w:contextualSpacing w:val="0"/>
        <w:ind w:left="0" w:right="0" w:firstLine="708"/>
        <w:jc w:val="both"/>
        <w:spacing w:before="0" w:after="0" w:line="24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 w:val="0"/>
          <w:color w:val="000000"/>
          <w:sz w:val="28"/>
        </w:rPr>
        <w:t xml:space="preserve">Стоимость услуги</w:t>
      </w:r>
      <w:r>
        <w:rPr>
          <w:rFonts w:ascii="Times New Roman" w:hAnsi="Times New Roman" w:cs="Times New Roman" w:eastAsia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должна включать все расходы Исполнителя, связанные с проведением поверки 8 сигнализаторов, использованием поверочного оборудования, выездом специалистов и оформлением соответствующих документов.</w:t>
      </w:r>
      <w:r>
        <w:rPr>
          <w:sz w:val="28"/>
        </w:rPr>
      </w:r>
      <w:r/>
    </w:p>
    <w:p>
      <w:pPr>
        <w:pStyle w:val="905"/>
        <w:jc w:val="both"/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Составил: </w:t>
      </w:r>
      <w:r/>
    </w:p>
    <w:p>
      <w:pPr>
        <w:pStyle w:val="905"/>
        <w:jc w:val="both"/>
      </w:pPr>
      <w:r>
        <w:rPr>
          <w:rFonts w:ascii="Times New Roman" w:hAnsi="Times New Roman" w:cs="Times New Roman" w:eastAsia="Times New Roman"/>
          <w:b/>
          <w:color w:val="000000"/>
          <w:sz w:val="24"/>
        </w:rPr>
        <w:t xml:space="preserve"> </w:t>
      </w:r>
      <w:r/>
    </w:p>
    <w:tbl>
      <w:tblPr>
        <w:tblStyle w:val="908"/>
        <w:tblW w:w="10205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244"/>
        <w:gridCol w:w="2551"/>
        <w:gridCol w:w="241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244" w:type="dxa"/>
            <w:vAlign w:val="top"/>
            <w:textDirection w:val="lrTb"/>
            <w:noWrap w:val="false"/>
          </w:tcPr>
          <w:p>
            <w:pPr>
              <w:pStyle w:val="905"/>
              <w:jc w:val="both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</w: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Заместитель директора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551" w:type="dxa"/>
            <w:vAlign w:val="top"/>
            <w:textDirection w:val="lrTb"/>
            <w:noWrap w:val="false"/>
          </w:tcPr>
          <w:p>
            <w:pPr>
              <w:pStyle w:val="905"/>
              <w:jc w:val="both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10" w:type="dxa"/>
            <w:vAlign w:val="top"/>
            <w:textDirection w:val="lrTb"/>
            <w:noWrap w:val="false"/>
          </w:tcPr>
          <w:p>
            <w:pPr>
              <w:pStyle w:val="905"/>
              <w:jc w:val="right"/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8"/>
              </w:rPr>
              <w:t xml:space="preserve">А. Кабаков</w:t>
            </w:r>
            <w:r/>
          </w:p>
        </w:tc>
      </w:tr>
    </w:tbl>
    <w:p>
      <w:pPr>
        <w:pStyle w:val="905"/>
        <w:jc w:val="both"/>
        <w:rPr>
          <w:rFonts w:ascii="Times New Roman" w:hAnsi="Times New Roman" w:cs="Times New Roman" w:eastAsia="Times New Roman"/>
          <w:sz w:val="22"/>
          <w:highlight w:val="none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sz w:val="22"/>
          <w:highlight w:val="none"/>
        </w:rPr>
      </w:r>
      <w:r/>
    </w:p>
    <w:tbl>
      <w:tblPr>
        <w:tblStyle w:val="908"/>
        <w:tblW w:w="0" w:type="auto"/>
        <w:tblLook w:val="04A0" w:firstRow="1" w:lastRow="0" w:firstColumn="1" w:lastColumn="0" w:noHBand="0" w:noVBand="1"/>
      </w:tblPr>
      <w:tblGrid>
        <w:gridCol w:w="1458"/>
        <w:gridCol w:w="1458"/>
        <w:gridCol w:w="1458"/>
        <w:gridCol w:w="1458"/>
        <w:gridCol w:w="1458"/>
        <w:gridCol w:w="1458"/>
        <w:gridCol w:w="1458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9" name="Picture 8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10" name="Picture 9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11" name="Picture 10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12" name="Picture 11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13" name="Picture 12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14" name="Picture 13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 w:val="false"/>
          </w:tcPr>
          <w:p>
            <w:pPr>
              <w:pStyle w:val="905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87400" cy="787400"/>
                      <wp:effectExtent l="0" t="0" r="0" b="0"/>
                      <wp:docPr id="15" name="Picture 14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.png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87400" cy="787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62.0pt;height:62.0pt;" stroked="false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</w:tr>
    </w:tbl>
    <w:p>
      <w:pPr>
        <w:pStyle w:val="905"/>
        <w:jc w:val="both"/>
        <w:rPr>
          <w:rFonts w:ascii="Times New Roman" w:hAnsi="Times New Roman" w:cs="Times New Roman" w:eastAsia="Times New Roman"/>
          <w:sz w:val="22"/>
          <w:highlight w:val="none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sz w:val="22"/>
          <w:highlight w:val="none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sz w:val="20"/>
          <w:highlight w:val="none"/>
        </w:rPr>
      </w:pPr>
      <w:r>
        <w:rPr>
          <w:rFonts w:ascii="Times New Roman" w:hAnsi="Times New Roman" w:cs="Times New Roman" w:eastAsia="Times New Roman"/>
          <w:sz w:val="20"/>
        </w:rPr>
        <w:t xml:space="preserve">Издатель ЭЦП - ҰЛТТЫҚ</w:t>
      </w:r>
      <w:r>
        <w:rPr>
          <w:rFonts w:ascii="Times New Roman" w:hAnsi="Times New Roman" w:cs="Times New Roman" w:eastAsia="Times New Roman"/>
          <w:sz w:val="20"/>
        </w:rPr>
        <w:t xml:space="preserve"> КУӘЛАНДЫРУШЫ ОРТАЛЫҚ (GOST) 2022, КАБАКОВ АЛТЫНБЕК,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области, BIN120841015383</w:t>
      </w:r>
      <w:r>
        <w:rPr>
          <w:sz w:val="20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sz w:val="20"/>
          <w:highlight w:val="none"/>
        </w:rPr>
      </w:pPr>
      <w:r>
        <w:rPr>
          <w:rFonts w:ascii="Times New Roman" w:hAnsi="Times New Roman" w:cs="Times New Roman" w:eastAsia="Times New Roman"/>
          <w:sz w:val="20"/>
          <w:highlight w:val="none"/>
        </w:rPr>
      </w:r>
      <w:r>
        <w:rPr>
          <w:rFonts w:ascii="Times New Roman" w:hAnsi="Times New Roman" w:cs="Times New Roman" w:eastAsia="Times New Roman"/>
          <w:sz w:val="20"/>
        </w:rPr>
        <w:t xml:space="preserve">https://sed.kazhydromet.kz/document/1986C854F4264088</w:t>
      </w:r>
      <w:r>
        <w:rPr>
          <w:sz w:val="20"/>
        </w:rPr>
      </w:r>
      <w:r/>
    </w:p>
    <w:p>
      <w:pPr>
        <w:pStyle w:val="905"/>
        <w:jc w:val="both"/>
        <w:rPr>
          <w:rFonts w:ascii="Arial" w:hAnsi="Arial" w:cs="Arial" w:eastAsia="Arial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>
        <w:rPr>
          <w:rFonts w:ascii="Arial" w:hAnsi="Arial" w:cs="Arial" w:eastAsia="Arial"/>
          <w:sz w:val="22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color w:val="000000"/>
          <w:highlight w:val="none"/>
        </w:rPr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Согласовано:</w:t>
      </w:r>
      <w:r>
        <w:rPr>
          <w:rFonts w:ascii="Times New Roman" w:hAnsi="Times New Roman" w:cs="Times New Roman" w:eastAsia="Times New Roman"/>
          <w:b/>
          <w:color w:val="000000"/>
          <w:sz w:val="28"/>
          <w:highlight w:val="none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905"/>
        <w:jc w:val="both"/>
        <w:rPr>
          <w:rFonts w:ascii="Times New Roman" w:hAnsi="Times New Roman" w:cs="Times New Roman" w:eastAsia="Times New Roman"/>
          <w:highlight w:val="none"/>
        </w:rPr>
      </w:pPr>
      <w:r>
        <w:rPr>
          <w:rFonts w:ascii="Times New Roman" w:hAnsi="Times New Roman" w:cs="Times New Roman" w:eastAsia="Times New Roman"/>
          <w:sz w:val="22"/>
          <w:highlight w:val="none"/>
        </w:rPr>
      </w:r>
      <w:r>
        <w:rPr>
          <w:rFonts w:ascii="Times New Roman" w:hAnsi="Times New Roman" w:cs="Times New Roman" w:eastAsia="Times New Roman"/>
          <w:highlight w:val="none"/>
        </w:rPr>
      </w:r>
      <w:r/>
    </w:p>
    <w:tbl>
      <w:tblPr>
        <w:tblStyle w:val="1035"/>
        <w:tblW w:w="0" w:type="auto"/>
        <w:tblLook w:val="04A0" w:firstRow="1" w:lastRow="0" w:firstColumn="1" w:lastColumn="0" w:noHBand="0" w:noVBand="1"/>
      </w:tblPr>
      <w:tblGrid>
        <w:gridCol w:w="2551"/>
        <w:gridCol w:w="2551"/>
        <w:gridCol w:w="2551"/>
        <w:gridCol w:w="2551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  <w:b/>
              </w:rPr>
              <w:t xml:space="preserve">ФИО, подразделение, 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  <w:b/>
              </w:rPr>
              <w:t xml:space="preserve">Тип действия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  <w:b/>
              </w:rPr>
              <w:t xml:space="preserve">Дата и время согласования или подписания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  <w:b/>
              </w:rPr>
              <w:t xml:space="preserve">Данные по ЭЦП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Бакуш Н.Г. - Начальник - Отдел гидрометерологического мониторинга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Согласовано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09.10.2026 07:59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БАКУШ НАТАЛЬЯ,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Тулегенова Л.Т. - Начальник отдела - Финансово-административный отдел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Согласовано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08.10.2026 20:03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ТУЛЕГЕНОВА ЛАЗЗАТ,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Ахметов А.Т. - Специалист юрист-госзакупщик - Финансово-административный отдел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Согласовано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09.10.2026 10:47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АХМЕТОВ АСКАР,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Курмангалиев И.Х. - Специалист по хоз.деятельности - Финансово-административный отдел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Согласовано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09.10.2026 08:14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КУРМАНГАЛИЕВ ИЛЬЯС,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Кабаков А.Б. - Заместитель директора - Руководство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Подписано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12.10.2026 18:13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КАБАКОВ АЛТЫНБЕК,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Ахметов А.С. - Директор - Руководство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Утверждено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12.10.2026 18:23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02" w:type="dxa"/>
            <w:textDirection w:val="lrTb"/>
            <w:noWrap w:val="false"/>
          </w:tcPr>
          <w:p>
            <w:r>
              <w:rPr>
                <w:rFonts w:ascii="Times New Roman" w:hAnsi="Times New Roman"/>
              </w:rPr>
              <w:t xml:space="preserve">ҰЛТТЫҚ КУӘЛАНДЫРУШЫ ОРТАЛЫҚ (GOST) 2022, АХМЕТОВ АДЕЛЬ, Филиал Республиканского государственного предприятия на праве хозяйственного ведения "Казгидромет" Министерства экологии и природных ресурсов Республики Казахстан по Костанайской области</w:t>
            </w:r>
            <w:r/>
          </w:p>
        </w:tc>
      </w:tr>
    </w:tbl>
    <w:p>
      <w:pPr>
        <w:pStyle w:val="905"/>
        <w:jc w:val="both"/>
        <w:rPr>
          <w:rFonts w:ascii="Times New Roman" w:hAnsi="Times New Roman" w:cs="Times New Roman" w:eastAsia="Times New Roman"/>
          <w:highlight w:val="none"/>
        </w:rPr>
      </w:pPr>
      <w:r>
        <w:rPr>
          <w:rFonts w:ascii="Times New Roman" w:hAnsi="Times New Roman" w:cs="Times New Roman" w:eastAsia="Times New Roman"/>
          <w:highlight w:val="none"/>
        </w:rPr>
      </w:r>
      <w:r>
        <w:rPr>
          <w:rFonts w:ascii="Times New Roman" w:hAnsi="Times New Roman" w:cs="Times New Roman" w:eastAsia="Times New Roman"/>
          <w:highlight w:val="none"/>
        </w:rPr>
      </w:r>
      <w:r/>
    </w:p>
    <w:p>
      <w:pPr>
        <w:pStyle w:val="905"/>
        <w:jc w:val="both"/>
      </w:pPr>
      <w:r>
        <w:rPr>
          <w:rFonts w:ascii="Times New Roman" w:hAnsi="Times New Roman" w:cs="Times New Roman" w:eastAsia="Times New Roman" w:hint="default"/>
          <w:sz w:val="28"/>
          <w:highlight w:val="none"/>
        </w:rPr>
      </w:r>
      <w:r/>
    </w:p>
    <w:p>
      <w:pPr>
        <w:pStyle w:val="905"/>
        <w:jc w:val="both"/>
        <w:rPr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567" w:right="567" w:bottom="567" w:left="1134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Times New Roman">
    <w:panose1 w:val="02020603050405020304"/>
  </w:font>
  <w:font w:name="Noto Sans CJK SC">
    <w:panose1 w:val="020B0509000000000004"/>
  </w:font>
  <w:font w:name="Courier New">
    <w:panose1 w:val="02070309020205020404"/>
  </w:font>
  <w:font w:name="Lohit Devanagari">
    <w:panose1 w:val="020B0600000000000000"/>
  </w:font>
  <w:font w:name="Wingdings">
    <w:panose1 w:val="05010000000000000000"/>
  </w:font>
  <w:font w:name="Liberation Sans">
    <w:panose1 w:val="020B060402020202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08"/>
      <w:tblW w:w="10205" w:type="dxa"/>
      <w:tblLayout w:type="fixed"/>
      <w:tblLook w:val="04A0" w:firstRow="1" w:lastRow="0" w:firstColumn="1" w:lastColumn="0" w:noHBand="0" w:noVBand="1"/>
    </w:tblPr>
    <w:tblGrid>
      <w:gridCol w:w="8787"/>
      <w:gridCol w:w="1418"/>
    </w:tblGrid>
    <w:tr>
      <w:trPr/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8787" w:type="dxa"/>
          <w:textDirection w:val="lrTb"/>
          <w:noWrap w:val="false"/>
        </w:tcPr>
        <w:p>
          <w:pPr>
            <w:pStyle w:val="905"/>
            <w:jc w:val="both"/>
            <w:rPr>
              <w:rFonts w:ascii="Times New Roman" w:hAnsi="Times New Roman" w:cs="Times New Roman" w:eastAsia="Times New Roman"/>
              <w:color w:val="000000"/>
              <w:highlight w:val="none"/>
            </w:rPr>
          </w:pPr>
          <w:r>
            <w:rPr>
              <w:rFonts w:ascii="Times New Roman" w:hAnsi="Times New Roman" w:cs="Times New Roman" w:eastAsia="Times New Roman"/>
              <w:color w:val="000000"/>
              <w:sz w:val="12"/>
              <w:vertAlign w:val="baseline"/>
            </w:rPr>
            <w:t xml:space="preserve">Электрондық құжатты тексеру үшін: https</w:t>
          </w:r>
          <w:r>
            <w:rPr>
              <w:rFonts w:ascii="Times New Roman" w:hAnsi="Times New Roman" w:cs="Times New Roman" w:eastAsia="Times New Roman"/>
              <w:color w:val="000000"/>
              <w:sz w:val="12"/>
              <w:vertAlign w:val="baseline"/>
            </w:rPr>
            <w:t xml:space="preserve">://sed.kazhydromet.kz/verify мекен-жайына өтіп, қажетті жолдарды толтырыңыз. Электрондық құжаттың көшірмесін тексеру үшін қысқа сілтемеге өтіңіз немесе QR код арқылы оқыңыз. Бұл құжат, «Электрондық құжат және электрондық цифрлық қолтаңба туралы» Қазақстан </w:t>
          </w:r>
          <w:r>
            <w:rPr>
              <w:rFonts w:ascii="Times New Roman" w:hAnsi="Times New Roman" w:cs="Times New Roman" w:eastAsia="Times New Roman"/>
              <w:color w:val="000000"/>
              <w:sz w:val="12"/>
              <w:vertAlign w:val="baseline"/>
            </w:rPr>
            <w:t xml:space="preserve">Республикасының 2003 жылғы 7 қаңтарда шыққан Заңының 7-бабының 1-тармағына сәйкес, қағаз құжатпен тең дәрежелі болып табылады. / Для проверки электронного документа перейдите по адресу: https://sed.kazhydromet.kz/verify и заполните необходимые поля. Для пр</w:t>
          </w:r>
          <w:r>
            <w:rPr>
              <w:rFonts w:ascii="Times New Roman" w:hAnsi="Times New Roman" w:cs="Times New Roman" w:eastAsia="Times New Roman"/>
              <w:color w:val="000000"/>
              <w:sz w:val="12"/>
              <w:vertAlign w:val="baseline"/>
            </w:rPr>
            <w:t xml:space="preserve">оверки копии электронного документа перейдите по короткой ссылке или считайте QR код. Данный документ согласно пункту 1 статьи 7 ЗРК от 7 января 2003 года «Об электронном документе и электронной цифровой подписи» равнозначен документу на бумажном носителе.</w:t>
          </w:r>
          <w:r>
            <w:rPr>
              <w:rFonts w:ascii="Times New Roman" w:hAnsi="Times New Roman" w:cs="Times New Roman" w:eastAsia="Times New Roman"/>
              <w:color w:val="000000"/>
              <w:highlight w:val="none"/>
            </w:rPr>
          </w:r>
          <w:r/>
        </w:p>
      </w:tc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1418" w:type="dxa"/>
          <w:textDirection w:val="lrTb"/>
          <w:noWrap w:val="false"/>
        </w:tcPr>
        <w:p>
          <w:pPr>
            <w:pStyle w:val="905"/>
          </w:pPr>
          <w: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87400" cy="787400"/>
                    <wp:effectExtent l="0" t="0" r="0" b="0"/>
                    <wp:docPr id="1" name="Picture 1" hidden="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.png" hidden="0"/>
                            <pic:cNvPicPr>
                              <a:picLocks noChangeAspect="1"/>
                            </pic:cNvPicPr>
                            <pic:nvPr isPhoto="0" userDrawn="0"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87400" cy="78740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mso-wrap-distance-left:0.0pt;mso-wrap-distance-top:0.0pt;mso-wrap-distance-right:0.0pt;mso-wrap-distance-bottom:0.0pt;width:62.0pt;height:62.0pt;" stroked="false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</w:tc>
    </w:tr>
  </w:tbl>
  <w:p>
    <w:pPr>
      <w:pStyle w:val="89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cs="Times New Roman" w:eastAsia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cs="Times New Roman" w:eastAsia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cs="Times New Roman" w:eastAsia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cs="Times New Roman" w:eastAsia="Times New Roman"/>
        <w:color w:val="000000"/>
        <w:sz w:val="24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  <w:color w:val="000000"/>
        <w:sz w:val="24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  <w:color w:val="000000"/>
        <w:sz w:val="24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  <w:color w:val="000000"/>
        <w:sz w:val="24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8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5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  <w:color w:val="000000"/>
        <w:sz w:val="24"/>
      </w:rPr>
    </w:lvl>
  </w:abstractNum>
  <w:abstractNum w:abstractNumId="5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  <w:color w:val="000000"/>
        <w:sz w:val="24"/>
      </w:rPr>
    </w:lvl>
  </w:abstractNum>
  <w:abstractNum w:abstractNumId="5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5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5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5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5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5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szCs w:val="22"/>
        <w:lang w:val="en-US" w:bidi="ar-SA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4">
    <w:name w:val="footnote reference"/>
    <w:basedOn w:val="880"/>
    <w:uiPriority w:val="99"/>
    <w:unhideWhenUsed/>
    <w:rPr>
      <w:vertAlign w:val="superscript"/>
    </w:rPr>
  </w:style>
  <w:style w:type="character" w:styleId="845">
    <w:name w:val="endnote reference"/>
    <w:basedOn w:val="880"/>
    <w:uiPriority w:val="99"/>
    <w:semiHidden/>
    <w:unhideWhenUsed/>
    <w:rPr>
      <w:vertAlign w:val="superscript"/>
    </w:rPr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qFormat/>
    <w:pPr>
      <w:jc w:val="left"/>
      <w:spacing w:before="0" w:beforeAutospacing="0" w:after="200" w:afterAutospacing="0" w:line="276" w:lineRule="auto"/>
      <w:widowControl/>
    </w:pPr>
    <w:rPr>
      <w:rFonts w:ascii="Arial" w:hAnsi="Arial" w:cs="Arial" w:eastAsia="Arial"/>
      <w:color w:val="auto"/>
      <w:sz w:val="22"/>
      <w:szCs w:val="22"/>
      <w:lang w:val="en-US" w:bidi="ar-SA" w:eastAsia="en-US"/>
    </w:rPr>
  </w:style>
  <w:style w:type="paragraph" w:styleId="848">
    <w:name w:val="Heading 1"/>
    <w:basedOn w:val="847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paragraph" w:styleId="849">
    <w:name w:val="Heading 2"/>
    <w:basedOn w:val="8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paragraph" w:styleId="850">
    <w:name w:val="Heading 3"/>
    <w:basedOn w:val="8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paragraph" w:styleId="851">
    <w:name w:val="Heading 4"/>
    <w:basedOn w:val="8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852">
    <w:name w:val="Heading 5"/>
    <w:basedOn w:val="8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853">
    <w:name w:val="Heading 6"/>
    <w:basedOn w:val="8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paragraph" w:styleId="854">
    <w:name w:val="Heading 7"/>
    <w:basedOn w:val="8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paragraph" w:styleId="855">
    <w:name w:val="Heading 8"/>
    <w:basedOn w:val="8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paragraph" w:styleId="856">
    <w:name w:val="Heading 9"/>
    <w:basedOn w:val="8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857">
    <w:name w:val="Footnote Characters"/>
    <w:basedOn w:val="880"/>
    <w:uiPriority w:val="99"/>
    <w:unhideWhenUsed/>
    <w:qFormat/>
    <w:rPr>
      <w:vertAlign w:val="superscript"/>
    </w:rPr>
  </w:style>
  <w:style w:type="character" w:styleId="858">
    <w:name w:val="Footnote Anchor"/>
    <w:rPr>
      <w:vertAlign w:val="superscript"/>
    </w:rPr>
  </w:style>
  <w:style w:type="character" w:styleId="859">
    <w:name w:val="Endnote Characters"/>
    <w:basedOn w:val="880"/>
    <w:uiPriority w:val="99"/>
    <w:semiHidden/>
    <w:unhideWhenUsed/>
    <w:qFormat/>
    <w:rPr>
      <w:vertAlign w:val="superscript"/>
    </w:rPr>
  </w:style>
  <w:style w:type="character" w:styleId="860">
    <w:name w:val="Endnote Anchor"/>
    <w:rPr>
      <w:vertAlign w:val="superscript"/>
    </w:rPr>
  </w:style>
  <w:style w:type="character" w:styleId="861">
    <w:name w:val="Heading 1 Char"/>
    <w:uiPriority w:val="9"/>
    <w:qFormat/>
    <w:rPr>
      <w:rFonts w:ascii="Arial" w:hAnsi="Arial" w:cs="Arial" w:eastAsia="Arial"/>
      <w:sz w:val="40"/>
      <w:szCs w:val="40"/>
    </w:rPr>
  </w:style>
  <w:style w:type="character" w:styleId="862">
    <w:name w:val="Heading 2 Char"/>
    <w:uiPriority w:val="9"/>
    <w:qFormat/>
    <w:rPr>
      <w:rFonts w:ascii="Arial" w:hAnsi="Arial" w:cs="Arial" w:eastAsia="Arial"/>
      <w:sz w:val="34"/>
    </w:rPr>
  </w:style>
  <w:style w:type="character" w:styleId="863">
    <w:name w:val="Heading 3 Char"/>
    <w:uiPriority w:val="9"/>
    <w:qFormat/>
    <w:rPr>
      <w:rFonts w:ascii="Arial" w:hAnsi="Arial" w:cs="Arial" w:eastAsia="Arial"/>
      <w:sz w:val="30"/>
      <w:szCs w:val="30"/>
    </w:rPr>
  </w:style>
  <w:style w:type="character" w:styleId="864">
    <w:name w:val="Heading 4 Char"/>
    <w:uiPriority w:val="9"/>
    <w:qFormat/>
    <w:rPr>
      <w:rFonts w:ascii="Arial" w:hAnsi="Arial" w:cs="Arial" w:eastAsia="Arial"/>
      <w:b/>
      <w:bCs/>
      <w:sz w:val="26"/>
      <w:szCs w:val="26"/>
    </w:rPr>
  </w:style>
  <w:style w:type="character" w:styleId="865">
    <w:name w:val="Heading 5 Char"/>
    <w:uiPriority w:val="9"/>
    <w:qFormat/>
    <w:rPr>
      <w:rFonts w:ascii="Arial" w:hAnsi="Arial" w:cs="Arial" w:eastAsia="Arial"/>
      <w:b/>
      <w:bCs/>
      <w:sz w:val="24"/>
      <w:szCs w:val="24"/>
    </w:rPr>
  </w:style>
  <w:style w:type="character" w:styleId="866">
    <w:name w:val="Heading 6 Char"/>
    <w:uiPriority w:val="9"/>
    <w:qFormat/>
    <w:rPr>
      <w:rFonts w:ascii="Arial" w:hAnsi="Arial" w:cs="Arial" w:eastAsia="Arial"/>
      <w:b/>
      <w:bCs/>
      <w:sz w:val="22"/>
      <w:szCs w:val="22"/>
    </w:rPr>
  </w:style>
  <w:style w:type="character" w:styleId="867">
    <w:name w:val="Heading 7 Char"/>
    <w:uiPriority w:val="9"/>
    <w:qFormat/>
    <w:rPr>
      <w:rFonts w:ascii="Arial" w:hAnsi="Arial" w:cs="Arial" w:eastAsia="Arial"/>
      <w:b/>
      <w:bCs/>
      <w:i/>
      <w:iCs/>
      <w:sz w:val="22"/>
      <w:szCs w:val="22"/>
    </w:rPr>
  </w:style>
  <w:style w:type="character" w:styleId="868">
    <w:name w:val="Heading 8 Char"/>
    <w:uiPriority w:val="9"/>
    <w:qFormat/>
    <w:rPr>
      <w:rFonts w:ascii="Arial" w:hAnsi="Arial" w:cs="Arial" w:eastAsia="Arial"/>
      <w:i/>
      <w:iCs/>
      <w:sz w:val="22"/>
      <w:szCs w:val="22"/>
    </w:rPr>
  </w:style>
  <w:style w:type="character" w:styleId="869">
    <w:name w:val="Heading 9 Char"/>
    <w:uiPriority w:val="9"/>
    <w:qFormat/>
    <w:rPr>
      <w:rFonts w:ascii="Arial" w:hAnsi="Arial" w:cs="Arial" w:eastAsia="Arial"/>
      <w:i/>
      <w:iCs/>
      <w:sz w:val="21"/>
      <w:szCs w:val="21"/>
    </w:rPr>
  </w:style>
  <w:style w:type="character" w:styleId="870">
    <w:name w:val="Title Char"/>
    <w:uiPriority w:val="10"/>
    <w:qFormat/>
    <w:rPr>
      <w:sz w:val="48"/>
      <w:szCs w:val="48"/>
    </w:rPr>
  </w:style>
  <w:style w:type="character" w:styleId="871">
    <w:name w:val="Subtitle Char"/>
    <w:uiPriority w:val="11"/>
    <w:qFormat/>
    <w:rPr>
      <w:sz w:val="24"/>
      <w:szCs w:val="24"/>
    </w:rPr>
  </w:style>
  <w:style w:type="character" w:styleId="872">
    <w:name w:val="Quote Char"/>
    <w:uiPriority w:val="29"/>
    <w:qFormat/>
    <w:rPr>
      <w:i/>
    </w:rPr>
  </w:style>
  <w:style w:type="character" w:styleId="873">
    <w:name w:val="Intense Quote Char"/>
    <w:uiPriority w:val="30"/>
    <w:qFormat/>
    <w:rPr>
      <w:i/>
    </w:rPr>
  </w:style>
  <w:style w:type="character" w:styleId="874">
    <w:name w:val="Header Char"/>
    <w:uiPriority w:val="99"/>
    <w:qFormat/>
  </w:style>
  <w:style w:type="character" w:styleId="875">
    <w:name w:val="Footer Char"/>
    <w:uiPriority w:val="99"/>
    <w:qFormat/>
  </w:style>
  <w:style w:type="character" w:styleId="876">
    <w:name w:val="Caption Char"/>
    <w:uiPriority w:val="99"/>
    <w:qFormat/>
  </w:style>
  <w:style w:type="character" w:styleId="877">
    <w:name w:val="Hyperlink"/>
    <w:uiPriority w:val="99"/>
    <w:unhideWhenUsed/>
    <w:rPr>
      <w:color w:val="0000FF" w:themeColor="hyperlink"/>
      <w:u w:val="single"/>
    </w:rPr>
  </w:style>
  <w:style w:type="character" w:styleId="878">
    <w:name w:val="Footnote Text Char"/>
    <w:uiPriority w:val="99"/>
    <w:qFormat/>
    <w:rPr>
      <w:sz w:val="18"/>
    </w:rPr>
  </w:style>
  <w:style w:type="character" w:styleId="879">
    <w:name w:val="Endnote Text Char"/>
    <w:uiPriority w:val="99"/>
    <w:qFormat/>
    <w:rPr>
      <w:sz w:val="20"/>
    </w:rPr>
  </w:style>
  <w:style w:type="character" w:styleId="880" w:default="1">
    <w:name w:val="Default Paragraph Font"/>
    <w:uiPriority w:val="1"/>
    <w:semiHidden/>
    <w:unhideWhenUsed/>
    <w:qFormat/>
  </w:style>
  <w:style w:type="paragraph" w:styleId="881">
    <w:name w:val="Heading"/>
    <w:basedOn w:val="847"/>
    <w:next w:val="882"/>
    <w:qFormat/>
    <w:pPr>
      <w:keepNext/>
      <w:spacing w:before="240" w:after="120"/>
    </w:pPr>
    <w:rPr>
      <w:rFonts w:ascii="Liberation Sans" w:hAnsi="Liberation Sans" w:cs="Lohit Devanagari" w:eastAsia="Noto Sans CJK SC"/>
      <w:sz w:val="28"/>
      <w:szCs w:val="28"/>
    </w:rPr>
  </w:style>
  <w:style w:type="paragraph" w:styleId="882">
    <w:name w:val="Body Text"/>
    <w:basedOn w:val="847"/>
    <w:pPr>
      <w:spacing w:before="0" w:after="140" w:line="276" w:lineRule="auto"/>
    </w:pPr>
  </w:style>
  <w:style w:type="paragraph" w:styleId="883">
    <w:name w:val="List"/>
    <w:basedOn w:val="882"/>
    <w:rPr>
      <w:rFonts w:cs="Lohit Devanagari"/>
    </w:rPr>
  </w:style>
  <w:style w:type="paragraph" w:styleId="884">
    <w:name w:val="Caption"/>
    <w:basedOn w:val="8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885">
    <w:name w:val="Index"/>
    <w:basedOn w:val="847"/>
    <w:qFormat/>
    <w:pPr>
      <w:suppressLineNumbers/>
    </w:pPr>
    <w:rPr>
      <w:rFonts w:cs="Lohit Devanagari"/>
    </w:rPr>
  </w:style>
  <w:style w:type="paragraph" w:styleId="886">
    <w:name w:val="Title"/>
    <w:basedOn w:val="847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887">
    <w:name w:val="Subtitle"/>
    <w:basedOn w:val="847"/>
    <w:uiPriority w:val="11"/>
    <w:qFormat/>
    <w:pPr>
      <w:spacing w:before="200" w:after="200"/>
    </w:pPr>
    <w:rPr>
      <w:sz w:val="24"/>
      <w:szCs w:val="24"/>
    </w:rPr>
  </w:style>
  <w:style w:type="paragraph" w:styleId="888">
    <w:name w:val="Quote"/>
    <w:basedOn w:val="847"/>
    <w:uiPriority w:val="29"/>
    <w:qFormat/>
    <w:pPr>
      <w:ind w:left="720" w:right="720" w:firstLine="0"/>
    </w:pPr>
    <w:rPr>
      <w:i/>
    </w:rPr>
  </w:style>
  <w:style w:type="paragraph" w:styleId="889">
    <w:name w:val="Intense Quote"/>
    <w:basedOn w:val="847"/>
    <w:uiPriority w:val="30"/>
    <w:qFormat/>
    <w:pPr>
      <w:ind w:left="720" w:right="720" w:firstLine="0"/>
      <w:spacing w:before="0" w:after="20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890">
    <w:name w:val="Header and Footer"/>
    <w:basedOn w:val="847"/>
    <w:qFormat/>
  </w:style>
  <w:style w:type="paragraph" w:styleId="891">
    <w:name w:val="Header"/>
    <w:basedOn w:val="847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92">
    <w:name w:val="Footer"/>
    <w:basedOn w:val="847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93">
    <w:name w:val="footnote text"/>
    <w:basedOn w:val="847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894">
    <w:name w:val="endnote text"/>
    <w:basedOn w:val="847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895">
    <w:name w:val="toc 1"/>
    <w:basedOn w:val="847"/>
    <w:uiPriority w:val="39"/>
    <w:unhideWhenUsed/>
    <w:pPr>
      <w:ind w:left="0" w:right="0" w:firstLine="0"/>
      <w:spacing w:before="0" w:after="57"/>
    </w:pPr>
  </w:style>
  <w:style w:type="paragraph" w:styleId="896">
    <w:name w:val="toc 2"/>
    <w:basedOn w:val="847"/>
    <w:uiPriority w:val="39"/>
    <w:unhideWhenUsed/>
    <w:pPr>
      <w:ind w:left="283" w:right="0" w:firstLine="0"/>
      <w:spacing w:before="0" w:after="57"/>
    </w:pPr>
  </w:style>
  <w:style w:type="paragraph" w:styleId="897">
    <w:name w:val="toc 3"/>
    <w:basedOn w:val="847"/>
    <w:uiPriority w:val="39"/>
    <w:unhideWhenUsed/>
    <w:pPr>
      <w:ind w:left="567" w:right="0" w:firstLine="0"/>
      <w:spacing w:before="0" w:after="57"/>
    </w:pPr>
  </w:style>
  <w:style w:type="paragraph" w:styleId="898">
    <w:name w:val="toc 4"/>
    <w:basedOn w:val="847"/>
    <w:uiPriority w:val="39"/>
    <w:unhideWhenUsed/>
    <w:pPr>
      <w:ind w:left="850" w:right="0" w:firstLine="0"/>
      <w:spacing w:before="0" w:after="57"/>
    </w:pPr>
  </w:style>
  <w:style w:type="paragraph" w:styleId="899">
    <w:name w:val="toc 5"/>
    <w:basedOn w:val="847"/>
    <w:uiPriority w:val="39"/>
    <w:unhideWhenUsed/>
    <w:pPr>
      <w:ind w:left="1134" w:right="0" w:firstLine="0"/>
      <w:spacing w:before="0" w:after="57"/>
    </w:pPr>
  </w:style>
  <w:style w:type="paragraph" w:styleId="900">
    <w:name w:val="toc 6"/>
    <w:basedOn w:val="847"/>
    <w:uiPriority w:val="39"/>
    <w:unhideWhenUsed/>
    <w:pPr>
      <w:ind w:left="1417" w:right="0" w:firstLine="0"/>
      <w:spacing w:before="0" w:after="57"/>
    </w:pPr>
  </w:style>
  <w:style w:type="paragraph" w:styleId="901">
    <w:name w:val="toc 7"/>
    <w:basedOn w:val="847"/>
    <w:uiPriority w:val="39"/>
    <w:unhideWhenUsed/>
    <w:pPr>
      <w:ind w:left="1701" w:right="0" w:firstLine="0"/>
      <w:spacing w:before="0" w:after="57"/>
    </w:pPr>
  </w:style>
  <w:style w:type="paragraph" w:styleId="902">
    <w:name w:val="toc 8"/>
    <w:basedOn w:val="847"/>
    <w:uiPriority w:val="39"/>
    <w:unhideWhenUsed/>
    <w:pPr>
      <w:ind w:left="1984" w:right="0" w:firstLine="0"/>
      <w:spacing w:before="0" w:after="57"/>
    </w:pPr>
  </w:style>
  <w:style w:type="paragraph" w:styleId="903">
    <w:name w:val="toc 9"/>
    <w:basedOn w:val="847"/>
    <w:uiPriority w:val="39"/>
    <w:unhideWhenUsed/>
    <w:pPr>
      <w:ind w:left="2268" w:right="0" w:firstLine="0"/>
      <w:spacing w:before="0" w:after="57"/>
    </w:pPr>
  </w:style>
  <w:style w:type="paragraph" w:styleId="904">
    <w:name w:val="TOC Heading"/>
    <w:uiPriority w:val="39"/>
    <w:unhideWhenUsed/>
    <w:qFormat/>
    <w:pPr>
      <w:jc w:val="left"/>
      <w:spacing w:before="0" w:beforeAutospacing="0" w:after="200" w:afterAutospacing="0" w:line="276" w:lineRule="auto"/>
      <w:widowControl/>
    </w:pPr>
    <w:rPr>
      <w:rFonts w:ascii="Arial" w:hAnsi="Arial" w:cs="Arial" w:eastAsia="Arial"/>
      <w:color w:val="auto"/>
      <w:sz w:val="22"/>
      <w:szCs w:val="22"/>
      <w:lang w:val="en-US" w:bidi="ar-SA" w:eastAsia="en-US"/>
    </w:rPr>
  </w:style>
  <w:style w:type="paragraph" w:styleId="905">
    <w:name w:val="No Spacing"/>
    <w:basedOn w:val="847"/>
    <w:uiPriority w:val="1"/>
    <w:qFormat/>
    <w:pPr>
      <w:spacing w:before="0" w:after="0" w:line="240" w:lineRule="auto"/>
    </w:pPr>
  </w:style>
  <w:style w:type="paragraph" w:styleId="906">
    <w:name w:val="List Paragraph"/>
    <w:basedOn w:val="847"/>
    <w:uiPriority w:val="34"/>
    <w:qFormat/>
    <w:pPr>
      <w:contextualSpacing/>
      <w:ind w:left="720" w:firstLine="0"/>
      <w:spacing w:before="0" w:after="200"/>
    </w:pPr>
  </w:style>
  <w:style w:type="numbering" w:styleId="907" w:default="1">
    <w:name w:val="No List"/>
    <w:uiPriority w:val="99"/>
    <w:semiHidden/>
    <w:unhideWhenUsed/>
    <w:qFormat/>
  </w:style>
  <w:style w:type="table" w:styleId="90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0"/>
      </w:tcPr>
    </w:tblStylePr>
    <w:tblStylePr w:type="band1Vert">
      <w:tcPr>
        <w:shd w:val="clear" w:color="ffffff" w:fill="ffffff" w:themeFill="text1" w:themeFillTint="0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91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91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1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1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3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</w:tcBorders>
      </w:tcPr>
    </w:tblStylePr>
  </w:style>
  <w:style w:type="table" w:styleId="93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</w:tcBorders>
      </w:tcPr>
    </w:tblStylePr>
  </w:style>
  <w:style w:type="table" w:styleId="93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</w:tcBorders>
      </w:tcPr>
    </w:tblStylePr>
  </w:style>
  <w:style w:type="table" w:styleId="94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</w:tcBorders>
      </w:tcPr>
    </w:tblStylePr>
  </w:style>
  <w:style w:type="table" w:styleId="94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4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4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94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94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94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94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94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94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95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color w:val="404040" w:themeColor="text1" w:themeTint="80" w:themeShade="95"/>
        <w:sz w:val="22"/>
      </w:rPr>
    </w:tblStylePr>
  </w:style>
  <w:style w:type="table" w:styleId="95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color w:val="404040" w:themeColor="accent1" w:themeTint="80" w:themeShade="95"/>
        <w:sz w:val="22"/>
      </w:rPr>
    </w:tblStylePr>
  </w:style>
  <w:style w:type="table" w:styleId="95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color w:val="404040" w:themeColor="accent2" w:themeTint="97" w:themeShade="95"/>
        <w:sz w:val="22"/>
      </w:rPr>
    </w:tblStylePr>
  </w:style>
  <w:style w:type="table" w:styleId="95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color w:val="404040" w:themeColor="accent3" w:themeTint="FE" w:themeShade="95"/>
        <w:sz w:val="22"/>
      </w:rPr>
    </w:tblStylePr>
  </w:style>
  <w:style w:type="table" w:styleId="95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color w:val="404040" w:themeColor="accent4" w:themeTint="9A" w:themeShade="95"/>
        <w:sz w:val="22"/>
      </w:rPr>
    </w:tblStylePr>
  </w:style>
  <w:style w:type="table" w:styleId="95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95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95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ffffff" w:themeFill="text1" w:themeFillTint="00"/>
      </w:tcPr>
    </w:tblStylePr>
    <w:tblStylePr w:type="band1Vert">
      <w:tcPr>
        <w:shd w:val="clear" w:color="ffffff" w:fill="ffffff" w:themeFill="text1" w:themeFillTint="0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317BBA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color w:val="317BBA" w:themeColor="accent1" w:themeTint="80" w:themeShade="95"/>
        <w:sz w:val="22"/>
      </w:rPr>
    </w:tblStylePr>
    <w:tblStylePr w:type="firstCol">
      <w:rPr>
        <w:i/>
        <w:color w:val="317BBA" w:themeColor="accent1" w:themeTint="80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317BBA" w:themeColor="accent1" w:themeTint="80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i/>
        <w:color w:val="C95712" w:themeColor="accent2" w:themeTint="97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95712" w:themeColor="accent2" w:themeTint="97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60606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color w:val="606060" w:themeColor="accent3" w:themeTint="FE" w:themeShade="95"/>
        <w:sz w:val="22"/>
      </w:rPr>
    </w:tblStylePr>
    <w:tblStylePr w:type="firstCol">
      <w:rPr>
        <w:i/>
        <w:color w:val="606060" w:themeColor="accent3" w:themeTint="FE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606060" w:themeColor="accent3" w:themeTint="FE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i/>
        <w:color w:val="CD9600" w:themeColor="accent4" w:themeTint="9A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CD9600" w:themeColor="accent4" w:themeTint="9A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254374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color w:val="254374" w:themeColor="accent5" w:themeShade="95"/>
        <w:sz w:val="22"/>
      </w:rPr>
    </w:tblStylePr>
    <w:tblStylePr w:type="firstCol">
      <w:rPr>
        <w:i/>
        <w:color w:val="254374" w:themeColor="accent5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254374" w:themeColor="accent5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26429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color w:val="426429" w:themeColor="accent6" w:themeShade="95"/>
        <w:sz w:val="22"/>
      </w:rPr>
    </w:tblStylePr>
    <w:tblStylePr w:type="firstCol">
      <w:rPr>
        <w:i/>
        <w:color w:val="426429" w:themeColor="accent6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426429" w:themeColor="accent6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97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97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97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97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97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97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97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9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9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9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9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9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9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9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sz="4" w:space="0"/>
        </w:tcBorders>
      </w:tcPr>
    </w:tblStylePr>
  </w:style>
  <w:style w:type="table" w:styleId="100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00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sz="4" w:space="0"/>
        </w:tcBorders>
      </w:tcPr>
    </w:tblStylePr>
  </w:style>
  <w:style w:type="table" w:styleId="100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sz="4" w:space="0"/>
        </w:tcBorders>
      </w:tcPr>
    </w:tblStylePr>
  </w:style>
  <w:style w:type="table" w:styleId="100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sz="4" w:space="0"/>
        </w:tcBorders>
      </w:tcPr>
    </w:tblStylePr>
  </w:style>
  <w:style w:type="table" w:styleId="100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sz="4" w:space="0"/>
        </w:tcBorders>
      </w:tcPr>
    </w:tblStylePr>
  </w:style>
  <w:style w:type="table" w:styleId="100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sz="4" w:space="0"/>
        </w:tcBorders>
      </w:tcPr>
    </w:tblStylePr>
  </w:style>
  <w:style w:type="table" w:styleId="100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4A4A4A" w:themeColor="text1" w:themeTint="80" w:themeShade="95"/>
        <w:sz w:val="22"/>
      </w:rPr>
    </w:tblStylePr>
  </w:style>
  <w:style w:type="table" w:styleId="100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color w:val="245D8D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color w:val="245D8D" w:themeColor="accent1" w:themeShade="95"/>
        <w:sz w:val="22"/>
      </w:rPr>
    </w:tblStylePr>
    <w:tblStylePr w:type="firstCol">
      <w:rPr>
        <w:i/>
        <w:color w:val="245D8D" w:themeColor="accent1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245D8D" w:themeColor="accent1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245D8D" w:themeColor="accent1" w:themeShade="95"/>
        <w:sz w:val="22"/>
      </w:rPr>
    </w:tblStylePr>
  </w:style>
  <w:style w:type="table" w:styleId="100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i/>
        <w:color w:val="C95712" w:themeColor="accent2" w:themeTint="97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95712" w:themeColor="accent2" w:themeTint="97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C95712" w:themeColor="accent2" w:themeTint="97" w:themeShade="95"/>
        <w:sz w:val="22"/>
      </w:rPr>
    </w:tblStylePr>
  </w:style>
  <w:style w:type="table" w:styleId="100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color w:val="757575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color w:val="757575" w:themeColor="accent3" w:themeTint="98" w:themeShade="95"/>
        <w:sz w:val="22"/>
      </w:rPr>
    </w:tblStylePr>
    <w:tblStylePr w:type="firstCol">
      <w:rPr>
        <w:i/>
        <w:color w:val="757575" w:themeColor="accent3" w:themeTint="98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757575" w:themeColor="accent3" w:themeTint="98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757575" w:themeColor="accent3" w:themeTint="98" w:themeShade="95"/>
        <w:sz w:val="22"/>
      </w:rPr>
    </w:tblStylePr>
  </w:style>
  <w:style w:type="table" w:styleId="101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i/>
        <w:color w:val="CD9600" w:themeColor="accent4" w:themeTint="9A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CD9600" w:themeColor="accent4" w:themeTint="9A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CD9600" w:themeColor="accent4" w:themeTint="9A" w:themeShade="95"/>
        <w:sz w:val="22"/>
      </w:rPr>
    </w:tblStylePr>
  </w:style>
  <w:style w:type="table" w:styleId="101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color w:val="335E9E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color w:val="335E9E" w:themeColor="accent5" w:themeTint="9A" w:themeShade="95"/>
        <w:sz w:val="22"/>
      </w:rPr>
    </w:tblStylePr>
    <w:tblStylePr w:type="firstCol">
      <w:rPr>
        <w:i/>
        <w:color w:val="335E9E" w:themeColor="accent5" w:themeTint="9A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335E9E" w:themeColor="accent5" w:themeTint="9A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335E9E" w:themeColor="accent5" w:themeTint="9A" w:themeShade="95"/>
        <w:sz w:val="22"/>
      </w:rPr>
    </w:tblStylePr>
  </w:style>
  <w:style w:type="table" w:styleId="101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color w:val="5F8F3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color w:val="5F8F3C" w:themeColor="accent6" w:themeTint="98" w:themeShade="95"/>
        <w:sz w:val="22"/>
      </w:rPr>
    </w:tblStylePr>
    <w:tblStylePr w:type="firstCol">
      <w:rPr>
        <w:i/>
        <w:color w:val="5F8F3C" w:themeColor="accent6" w:themeTint="98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5F8F3C" w:themeColor="accent6" w:themeTint="98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5F8F3C" w:themeColor="accent6" w:themeTint="98" w:themeShade="95"/>
        <w:sz w:val="22"/>
      </w:rPr>
    </w:tblStylePr>
  </w:style>
  <w:style w:type="table" w:styleId="101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2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101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101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101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101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101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5"/>
      </w:tcPr>
    </w:tblStylePr>
    <w:tblStylePr w:type="firstRow">
      <w:rPr>
        <w:color w:val="F2F2F2"/>
        <w:sz w:val="22"/>
      </w:rPr>
      <w:tcPr>
        <w:shd w:val="clear" w:color="ffffff" w:fill="ffffff" w:themeFill="accent5"/>
      </w:tcPr>
    </w:tblStylePr>
    <w:tblStylePr w:type="lastCol">
      <w:rPr>
        <w:color w:val="F2F2F2"/>
        <w:sz w:val="22"/>
      </w:rPr>
      <w:tcPr>
        <w:shd w:val="clear" w:color="ffffff" w:fill="ffffff" w:themeFill="accent5"/>
      </w:tcPr>
    </w:tblStylePr>
    <w:tblStylePr w:type="lastRow">
      <w:rPr>
        <w:color w:val="F2F2F2"/>
        <w:sz w:val="22"/>
      </w:rPr>
      <w:tcPr>
        <w:shd w:val="clear" w:color="ffffff" w:fill="ffffff" w:themeFill="accent5"/>
      </w:tcPr>
    </w:tblStylePr>
  </w:style>
  <w:style w:type="table" w:styleId="101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6"/>
      </w:tcPr>
    </w:tblStylePr>
    <w:tblStylePr w:type="firstRow">
      <w:rPr>
        <w:color w:val="F2F2F2"/>
        <w:sz w:val="22"/>
      </w:rPr>
      <w:tcPr>
        <w:shd w:val="clear" w:color="ffffff" w:fill="ffffff" w:themeFill="accent6"/>
      </w:tcPr>
    </w:tblStylePr>
    <w:tblStylePr w:type="lastCol">
      <w:rPr>
        <w:color w:val="F2F2F2"/>
        <w:sz w:val="22"/>
      </w:rPr>
      <w:tcPr>
        <w:shd w:val="clear" w:color="ffffff" w:fill="ffffff" w:themeFill="accent6"/>
      </w:tcPr>
    </w:tblStylePr>
    <w:tblStylePr w:type="lastRow">
      <w:rPr>
        <w:color w:val="F2F2F2"/>
        <w:sz w:val="22"/>
      </w:rPr>
      <w:tcPr>
        <w:shd w:val="clear" w:color="ffffff" w:fill="ffffff" w:themeFill="accent6"/>
      </w:tcPr>
    </w:tblStylePr>
  </w:style>
  <w:style w:type="table" w:styleId="102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2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102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102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102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102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102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5"/>
      </w:tcPr>
    </w:tblStylePr>
    <w:tblStylePr w:type="firstRow">
      <w:rPr>
        <w:color w:val="F2F2F2"/>
        <w:sz w:val="22"/>
      </w:rPr>
      <w:tcPr>
        <w:shd w:val="clear" w:color="ffffff" w:fill="ffffff" w:themeFill="accent5"/>
      </w:tcPr>
    </w:tblStylePr>
    <w:tblStylePr w:type="lastCol">
      <w:rPr>
        <w:color w:val="F2F2F2"/>
        <w:sz w:val="22"/>
      </w:rPr>
      <w:tcPr>
        <w:shd w:val="clear" w:color="ffffff" w:fill="ffffff" w:themeFill="accent5"/>
      </w:tcPr>
    </w:tblStylePr>
    <w:tblStylePr w:type="lastRow">
      <w:rPr>
        <w:color w:val="F2F2F2"/>
        <w:sz w:val="22"/>
      </w:rPr>
      <w:tcPr>
        <w:shd w:val="clear" w:color="ffffff" w:fill="ffffff" w:themeFill="accent5"/>
      </w:tcPr>
    </w:tblStylePr>
  </w:style>
  <w:style w:type="table" w:styleId="102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6"/>
      </w:tcPr>
    </w:tblStylePr>
    <w:tblStylePr w:type="firstRow">
      <w:rPr>
        <w:color w:val="F2F2F2"/>
        <w:sz w:val="22"/>
      </w:rPr>
      <w:tcPr>
        <w:shd w:val="clear" w:color="ffffff" w:fill="ffffff" w:themeFill="accent6"/>
      </w:tcPr>
    </w:tblStylePr>
    <w:tblStylePr w:type="lastCol">
      <w:rPr>
        <w:color w:val="F2F2F2"/>
        <w:sz w:val="22"/>
      </w:rPr>
      <w:tcPr>
        <w:shd w:val="clear" w:color="ffffff" w:fill="ffffff" w:themeFill="accent6"/>
      </w:tcPr>
    </w:tblStylePr>
    <w:tblStylePr w:type="lastRow">
      <w:rPr>
        <w:color w:val="F2F2F2"/>
        <w:sz w:val="22"/>
      </w:rPr>
      <w:tcPr>
        <w:shd w:val="clear" w:color="ffffff" w:fill="ffffff" w:themeFill="accent6"/>
      </w:tcPr>
    </w:tblStylePr>
  </w:style>
  <w:style w:type="table" w:styleId="102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tex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tex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text1" w:sz="12" w:space="0"/>
        </w:tcBorders>
      </w:tcPr>
    </w:tblStylePr>
  </w:style>
  <w:style w:type="table" w:styleId="102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02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2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2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2" w:sz="12" w:space="0"/>
        </w:tcBorders>
      </w:tcPr>
    </w:tblStylePr>
  </w:style>
  <w:style w:type="table" w:styleId="103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3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3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3" w:sz="12" w:space="0"/>
        </w:tcBorders>
      </w:tcPr>
    </w:tblStylePr>
  </w:style>
  <w:style w:type="table" w:styleId="103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4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4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4" w:sz="12" w:space="0"/>
        </w:tcBorders>
      </w:tcPr>
    </w:tblStylePr>
  </w:style>
  <w:style w:type="table" w:styleId="103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5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5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5" w:sz="12" w:space="0"/>
        </w:tcBorders>
      </w:tcPr>
    </w:tblStylePr>
  </w:style>
  <w:style w:type="table" w:styleId="103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6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6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6" w:sz="12" w:space="0"/>
        </w:tcBorders>
      </w:tcPr>
    </w:tblStylePr>
  </w:style>
  <w:style w:type="table" w:styleId="1034" w:default="1">
    <w:name w:val="Normal Table"/>
    <w:uiPriority w:val="99"/>
    <w:semiHidden/>
    <w:unhideWhenUsed/>
    <w:tblPr/>
  </w:style>
  <w:style w:type="table" w:styleId="1035" w:customStyle="1">
    <w:name w:val="SalemTable"/>
    <w:rPr>
      <w:rFonts w:ascii="Times New Roman" w:hAnsi="Times New Roman"/>
    </w:rPr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onlyoffice/7.1.0.58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en-US</dc:language>
  <cp:lastModifiedBy>Ахметов Аскар Тулегенович</cp:lastModifiedBy>
  <cp:revision>24</cp:revision>
  <dcterms:modified xsi:type="dcterms:W3CDTF">2026-10-14T11:37:58Z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