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0637BF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Техникалық сипаттама </w:t>
      </w:r>
    </w:p>
    <w:p w14:paraId="62083C0F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>ГККП</w:t>
      </w:r>
      <w:r>
        <w:rPr>
          <w:rFonts w:hint="default" w:ascii="Times New Roman" w:hAnsi="Times New Roman" w:cs="Times New Roman"/>
          <w:b/>
          <w:sz w:val="32"/>
          <w:szCs w:val="32"/>
          <w:lang w:val="kk-KZ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«Санаторный</w:t>
      </w:r>
      <w:r>
        <w:rPr>
          <w:rFonts w:hint="default" w:ascii="Times New Roman" w:hAnsi="Times New Roman" w:cs="Times New Roman"/>
          <w:b/>
          <w:sz w:val="32"/>
          <w:szCs w:val="32"/>
          <w:lang w:val="kk-KZ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Ясли</w:t>
      </w:r>
      <w:r>
        <w:rPr>
          <w:rFonts w:hint="default" w:ascii="Times New Roman" w:hAnsi="Times New Roman" w:cs="Times New Roman"/>
          <w:b/>
          <w:sz w:val="32"/>
          <w:szCs w:val="32"/>
          <w:lang w:val="kk-KZ"/>
        </w:rPr>
        <w:t xml:space="preserve"> сад</w:t>
      </w:r>
      <w:r>
        <w:rPr>
          <w:rFonts w:hint="default" w:ascii="Times New Roman" w:hAnsi="Times New Roman" w:cs="Times New Roman"/>
          <w:b/>
          <w:sz w:val="32"/>
          <w:szCs w:val="32"/>
          <w:lang w:val="en-US"/>
        </w:rPr>
        <w:t xml:space="preserve"> </w:t>
      </w:r>
      <w:r>
        <w:rPr>
          <w:rFonts w:hint="default" w:ascii="Times New Roman" w:hAnsi="Times New Roman" w:cs="Times New Roman"/>
          <w:b/>
          <w:sz w:val="32"/>
          <w:szCs w:val="32"/>
          <w:lang w:val="kk-KZ"/>
        </w:rPr>
        <w:t>Балдырған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»  </w:t>
      </w:r>
    </w:p>
    <w:p w14:paraId="2AB8EEB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</w:pPr>
    </w:p>
    <w:p w14:paraId="106C9AF0">
      <w:pPr>
        <w:rPr>
          <w:rFonts w:hint="default" w:ascii="Times New Roman" w:hAnsi="Times New Roman" w:cs="Times New Roman"/>
          <w:b/>
          <w:color w:val="FF0000"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  <w:t>Ескерту Мұқият оқыңыздар</w:t>
      </w:r>
      <w:r>
        <w:rPr>
          <w:rFonts w:hint="default" w:ascii="Times New Roman" w:hAnsi="Times New Roman" w:cs="Times New Roman"/>
          <w:b/>
          <w:color w:val="FF0000"/>
          <w:sz w:val="32"/>
          <w:szCs w:val="32"/>
          <w:lang w:val="kk-KZ"/>
        </w:rPr>
        <w:t>!</w:t>
      </w:r>
      <w:bookmarkStart w:id="0" w:name="_GoBack"/>
      <w:bookmarkEnd w:id="0"/>
    </w:p>
    <w:p w14:paraId="030DEFC1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>Мекеменің</w:t>
      </w:r>
      <w:r>
        <w:rPr>
          <w:rFonts w:hint="default"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 xml:space="preserve"> сыртқы  алаңқайына  балаларға арналған ойын алаңын жасау бойынша жұмыстар. Ойын алаңы балаларға арналған 7 де 1 ойын комплектациясы( 7в 1 үйшікті алаңқай өлешім ұзындығы </w:t>
      </w:r>
      <w:r>
        <w:rPr>
          <w:rFonts w:hint="default" w:ascii="Times New Roman" w:hAnsi="Times New Roman" w:cs="Times New Roman"/>
          <w:b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  <w:t>4-5</w:t>
      </w:r>
      <w:r>
        <w:rPr>
          <w:rFonts w:hint="default"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>метрден кем емес), карусель, таразы(качалка), качели. Ойын алаңы биіктігі 2,5метр-3метр кем болмауы.     Өлшемі 8метрде*6метр болатындай етіп  жерге стяжка төсеп , оның бетінен балаларға зиянсыз тік төртбұрышты жерге төселетін төсеме резенкесін орналастыру (резеңкенің қалыңдығы 3-5см кем болмауы). Тауардың материалдары сапалы қалыңдығы :   қалың даланың ауа райына төзімді тығыздық қалыңдығы 1,5см кем емес пластиктер жәнеде метал каркастарымен</w:t>
      </w:r>
      <w:r>
        <w:rPr>
          <w:rFonts w:hint="default" w:ascii="Times New Roman" w:hAnsi="Times New Roman" w:cs="Times New Roman"/>
          <w:b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>.</w:t>
      </w:r>
      <w:r>
        <w:rPr>
          <w:rFonts w:hint="default" w:ascii="Times New Roman" w:hAnsi="Times New Roman" w:cs="Times New Roman"/>
          <w:b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 xml:space="preserve">Метал каркас сырты қалың пластиктермем қапталған. Стойкалары деаметрлері 100 кем болмайтындай . Ойын алаңына : </w:t>
      </w:r>
      <w:r>
        <w:rPr>
          <w:rFonts w:hint="default" w:ascii="Times New Roman" w:hAnsi="Times New Roman" w:cs="Times New Roman" w:eastAsiaTheme="minorEastAsia"/>
          <w:b/>
          <w:color w:val="FF0000"/>
          <w:sz w:val="32"/>
          <w:szCs w:val="32"/>
          <w:lang w:val="kk-KZ"/>
        </w:rPr>
        <w:t>лабиринт домик</w:t>
      </w:r>
      <w:r>
        <w:rPr>
          <w:rFonts w:hint="default" w:ascii="Times New Roman" w:hAnsi="Times New Roman" w:cs="Times New Roman"/>
          <w:b/>
          <w:color w:val="FF0000"/>
          <w:sz w:val="32"/>
          <w:szCs w:val="32"/>
          <w:lang w:val="kk-KZ"/>
        </w:rPr>
        <w:t xml:space="preserve"> -</w:t>
      </w:r>
      <w:r>
        <w:rPr>
          <w:rFonts w:hint="default"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 xml:space="preserve"> с лестницами,   с пластиковой закрытой трубной горькой с качели ,  карусель-вертушка, качеля-балансир, отдельное Горька, песочница,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>Барлық материалдар  мен жасау, жеткізу, орнату, қайта келіп өлшем  алу осы сомаға кіреді</w:t>
      </w:r>
      <w:r>
        <w:rPr>
          <w:rFonts w:hint="default"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>, сонымен қатар жұмыс соңында жасаған жұмыс орнының артын қоқыстардан толықтай тазалап кетуі тиіс.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 xml:space="preserve"> Орындаушы акелген тауарына 12 айлық кепілдік талоны мен тауардың сертификаттарын ұсынуы тиіс. Тауар</w:t>
      </w:r>
      <w:r>
        <w:rPr>
          <w:rFonts w:hint="default"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 xml:space="preserve"> материалы сапасыз болған жағдайда қайта жасақтау талап етіледі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kk-KZ"/>
          <w14:textFill>
            <w14:solidFill>
              <w14:schemeClr w14:val="tx1"/>
            </w14:solidFill>
          </w14:textFill>
        </w:rPr>
        <w:t xml:space="preserve">. </w:t>
      </w:r>
    </w:p>
    <w:p w14:paraId="6C3132B0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64B38F76">
      <w:pPr>
        <w:rPr>
          <w:lang w:val="kk-KZ"/>
        </w:rPr>
      </w:pPr>
    </w:p>
    <w:p w14:paraId="6E9A8326">
      <w:pPr>
        <w:rPr>
          <w:lang w:val="kk-KZ"/>
        </w:rPr>
      </w:pPr>
    </w:p>
    <w:p w14:paraId="1F3E70A8">
      <w:pPr>
        <w:rPr>
          <w:lang w:val="kk-KZ"/>
        </w:rPr>
      </w:pPr>
    </w:p>
    <w:p w14:paraId="03FDA9DE">
      <w:pPr>
        <w:rPr>
          <w:lang w:val="kk-KZ"/>
        </w:rPr>
      </w:pPr>
    </w:p>
    <w:p w14:paraId="1FCEE6CF">
      <w:pPr>
        <w:rPr>
          <w:lang w:val="kk-KZ"/>
        </w:rPr>
      </w:pPr>
    </w:p>
    <w:p w14:paraId="35A82D0A">
      <w:pPr>
        <w:rPr>
          <w:lang w:val="kk-KZ"/>
        </w:rPr>
      </w:pPr>
    </w:p>
    <w:p w14:paraId="2E757C34">
      <w:pPr>
        <w:rPr>
          <w:lang w:val="kk-KZ"/>
        </w:rPr>
      </w:pPr>
    </w:p>
    <w:p w14:paraId="2C1D0FE0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kk-KZ"/>
        </w:rPr>
      </w:pPr>
      <w:r>
        <w:rPr>
          <w:rFonts w:ascii="Times New Roman" w:hAnsi="Times New Roman" w:cs="Times New Roman"/>
          <w:b/>
          <w:bCs/>
          <w:sz w:val="48"/>
          <w:szCs w:val="48"/>
          <w:lang w:val="kk-KZ"/>
        </w:rPr>
        <w:t>Техническая характеристика</w:t>
      </w:r>
    </w:p>
    <w:p w14:paraId="25795047">
      <w:pPr>
        <w:rPr>
          <w:rFonts w:ascii="Times New Roman" w:hAnsi="Times New Roman" w:cs="Times New Roman"/>
          <w:color w:val="FF0000"/>
          <w:sz w:val="32"/>
          <w:szCs w:val="32"/>
          <w:lang w:val="kk-KZ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kk-KZ"/>
        </w:rPr>
        <w:t>Премечание читать внимательно!</w:t>
      </w:r>
    </w:p>
    <w:p w14:paraId="59F6FED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9FA"/>
        <w:bidi w:val="0"/>
        <w:spacing w:line="432" w:lineRule="atLeast"/>
        <w:ind w:left="0" w:right="0" w:firstLine="0"/>
        <w:jc w:val="left"/>
        <w:rPr>
          <w:rFonts w:eastAsia="MingLiU-ExtB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/>
          <w:color w:val="000000" w:themeColor="text1"/>
          <w:sz w:val="33"/>
          <w:szCs w:val="33"/>
          <w:shd w:val="clear" w:color="auto" w:fill="F8F9FA"/>
          <w:lang w:val="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eastAsia="MingLiU-ExtB"/>
          <w:i w:val="0"/>
          <w:iCs w:val="0"/>
          <w:caps w:val="0"/>
          <w:color w:val="000000" w:themeColor="text1"/>
          <w:spacing w:val="0"/>
          <w:sz w:val="28"/>
          <w:szCs w:val="28"/>
          <w:bdr w:val="none" w:color="auto" w:sz="0" w:space="0"/>
          <w:shd w:val="clear" w:fill="F8F9FA"/>
          <w:lang w:val="ru"/>
          <w14:textFill>
            <w14:solidFill>
              <w14:schemeClr w14:val="tx1"/>
            </w14:solidFill>
          </w14:textFill>
        </w:rPr>
        <w:t>Работы по обустройству детской игровой площадки на прилегающей к объекту территории. На площадке должны быть размещены: многофункциональный игровой комплекс «7 в 1» (включающий игровой домик/конструкцию общей длиной не менее 4–5 метров), карусель, качели-балансир и качели. Высота игровых конструкций должна составлять не менее 2,5–3 метров. На участке размером 8 на 6 метров необходимо выполнить бетонную стяжку (основание), поверх которой уложить безопасное нетоксичное резиновое покрытие (плитку) толщиной не менее 3–5 см.Используемые материалы должны быть высококачественными, долговечными и устойчивыми к погодным условиям. Толщина пластиковых элементов должна составлять не менее 1,5 см; конструкции должны опираться на металлический каркас, полностью закрытый толстым слоем пластика. Диаметр опорных стоек должен быть не менее 100 мм. В состав игрового комплекса должны входить: игровой домик-лабиринт с лестницей, закрытая пластиковая горка-труба, качели, карусель, качели-балансир, отдельная горка и песочница. У</w:t>
      </w:r>
      <w:r>
        <w:rPr>
          <w:rFonts w:eastAsia="MingLiU-ExtB"/>
          <w:i w:val="0"/>
          <w:iCs w:val="0"/>
          <w:caps w:val="0"/>
          <w:color w:val="000000" w:themeColor="text1"/>
          <w:spacing w:val="0"/>
          <w:sz w:val="28"/>
          <w:szCs w:val="28"/>
          <w:bdr w:val="none" w:color="auto" w:sz="0" w:space="0"/>
          <w:shd w:val="clear" w:fill="F8F9FA"/>
          <w:lang w:val="kk-KZ"/>
          <w14:textFill>
            <w14:solidFill>
              <w14:schemeClr w14:val="tx1"/>
            </w14:solidFill>
          </w14:textFill>
        </w:rPr>
        <w:t>к</w:t>
      </w:r>
      <w:r>
        <w:rPr>
          <w:rFonts w:eastAsia="MingLiU-ExtB"/>
          <w:i w:val="0"/>
          <w:iCs w:val="0"/>
          <w:caps w:val="0"/>
          <w:color w:val="000000" w:themeColor="text1"/>
          <w:spacing w:val="0"/>
          <w:sz w:val="28"/>
          <w:szCs w:val="28"/>
          <w:bdr w:val="none" w:color="auto" w:sz="0" w:space="0"/>
          <w:shd w:val="clear" w:fill="F8F9FA"/>
          <w:lang w:val="ru"/>
          <w14:textFill>
            <w14:solidFill>
              <w14:schemeClr w14:val="tx1"/>
            </w14:solidFill>
          </w14:textFill>
        </w:rPr>
        <w:t>азанная стоимость включает в себя все материалы, производство, доставку, монтаж, а также предварительный выезд на объект для проведения замеров. Кроме того, по завершении работ площадка должна быть тщательно очищена от строительного мусора.Подрядчик обязан предоставить гарантийный сертификат сроком на 12 месяцев, а также сертификаты соответствия на поставляемые товары. В случае использования материалов ненадлежащего качества изделия подлежат повторному изготовлению.</w:t>
      </w:r>
    </w:p>
    <w:p w14:paraId="6ECFBFB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9FA"/>
        <w:bidi w:val="0"/>
        <w:spacing w:line="432" w:lineRule="atLeast"/>
        <w:ind w:left="0" w:right="0" w:firstLine="0"/>
        <w:jc w:val="left"/>
        <w:rPr>
          <w:rFonts w:eastAsia="MingLiU-ExtB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509CB7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8F9FA"/>
        <w:bidi w:val="0"/>
        <w:spacing w:line="432" w:lineRule="atLeast"/>
        <w:ind w:left="0" w:right="0" w:firstLine="0"/>
        <w:jc w:val="left"/>
        <w:rPr>
          <w:rFonts w:eastAsia="MingLiU-ExtB"/>
          <w:i w:val="0"/>
          <w:iCs w:val="0"/>
          <w:caps w:val="0"/>
          <w:color w:val="000000" w:themeColor="text1"/>
          <w:spacing w:val="0"/>
          <w:sz w:val="28"/>
          <w:szCs w:val="28"/>
          <w:lang w:val="kk-KZ"/>
          <w14:textFill>
            <w14:solidFill>
              <w14:schemeClr w14:val="tx1"/>
            </w14:solidFill>
          </w14:textFill>
        </w:rPr>
      </w:pPr>
    </w:p>
    <w:sectPr>
      <w:pgSz w:w="11906" w:h="16838"/>
      <w:pgMar w:top="1134" w:right="850" w:bottom="1134" w:left="127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M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95A"/>
    <w:rsid w:val="00033088"/>
    <w:rsid w:val="00061374"/>
    <w:rsid w:val="00445BA3"/>
    <w:rsid w:val="0046552A"/>
    <w:rsid w:val="004945AB"/>
    <w:rsid w:val="00537F43"/>
    <w:rsid w:val="00775EFF"/>
    <w:rsid w:val="00AD1DD3"/>
    <w:rsid w:val="00AF795A"/>
    <w:rsid w:val="00C26B47"/>
    <w:rsid w:val="00E70EC8"/>
    <w:rsid w:val="00FA48BB"/>
    <w:rsid w:val="07B851BB"/>
    <w:rsid w:val="0FAA1F95"/>
    <w:rsid w:val="144C50DC"/>
    <w:rsid w:val="209B6916"/>
    <w:rsid w:val="24FF33BE"/>
    <w:rsid w:val="28273DAA"/>
    <w:rsid w:val="29796396"/>
    <w:rsid w:val="3D306E99"/>
    <w:rsid w:val="42F661C9"/>
    <w:rsid w:val="4C595024"/>
    <w:rsid w:val="679E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5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228</Words>
  <Characters>1489</Characters>
  <Lines>9</Lines>
  <Paragraphs>2</Paragraphs>
  <TotalTime>2175</TotalTime>
  <ScaleCrop>false</ScaleCrop>
  <LinksUpToDate>false</LinksUpToDate>
  <CharactersWithSpaces>1726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2026-06-05T04:06:00Z</dcterms:created>
  <dc:creator>User1</dc:creator>
  <cp:lastModifiedBy>Asus</cp:lastModifiedBy>
  <dcterms:modified xsi:type="dcterms:W3CDTF">2026-10-26T02:18:23Z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eyJoZGlkIjoiYjgyNGUwNDQ5MTgwMjI4M2UzMTgyNTk3MzZjMzU1YTEifQ==</vt:lpwstr>
  </property>
  <property fmtid="{D5CDD505-2E9C-101B-9397-08002B2CF9AE}" pid="3" name="KSOProductBuildVer">
    <vt:lpwstr>1049-12.1.0.29162</vt:lpwstr>
  </property>
  <property fmtid="{D5CDD505-2E9C-101B-9397-08002B2CF9AE}" pid="4" name="ICV">
    <vt:lpwstr>D628D9A99FC3442B954B35FA2560D97E_13</vt:lpwstr>
  </property>
</Properties>
</file>