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6"/>
        <w:ind w:left="614" w:right="615" w:firstLine="0"/>
        <w:jc w:val="center"/>
        <w:rPr>
          <w:b/>
          <w:sz w:val="20"/>
        </w:rPr>
      </w:pPr>
      <w:r>
        <w:rPr>
          <w:b/>
          <w:spacing w:val="-2"/>
          <w:sz w:val="20"/>
        </w:rPr>
        <w:t>ТЕХНИЧЕСКАЯ</w:t>
      </w:r>
      <w:r>
        <w:rPr>
          <w:b/>
          <w:spacing w:val="-1"/>
          <w:sz w:val="20"/>
        </w:rPr>
        <w:t> </w:t>
      </w:r>
      <w:r>
        <w:rPr>
          <w:b/>
          <w:spacing w:val="-2"/>
          <w:sz w:val="20"/>
        </w:rPr>
        <w:t>СПЕЦИФИКАЦИЯ</w:t>
      </w:r>
    </w:p>
    <w:p>
      <w:pPr>
        <w:spacing w:before="3"/>
        <w:ind w:left="613" w:right="615" w:firstLine="0"/>
        <w:jc w:val="center"/>
        <w:rPr>
          <w:b/>
          <w:sz w:val="20"/>
        </w:rPr>
      </w:pPr>
      <w:r>
        <w:rPr>
          <w:b/>
          <w:sz w:val="20"/>
        </w:rPr>
        <w:t>Услуги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по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страхованию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гражданско-правовой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ответственности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перевозчиков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перед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пассажирами (кроме владельцев автотранспортных средств)</w:t>
      </w:r>
    </w:p>
    <w:p>
      <w:pPr>
        <w:spacing w:before="227"/>
        <w:ind w:left="143" w:right="194" w:firstLine="0"/>
        <w:jc w:val="both"/>
        <w:rPr>
          <w:sz w:val="24"/>
        </w:rPr>
      </w:pPr>
      <w:r>
        <w:rPr>
          <w:b/>
          <w:sz w:val="24"/>
        </w:rPr>
        <w:t>Объект обязательного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страхования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гражданско-правовой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ответственности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перевозчика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перед пассажирами</w:t>
      </w:r>
      <w:r>
        <w:rPr>
          <w:sz w:val="24"/>
        </w:rPr>
        <w:t>: Объектом обязательного страхования гражданско-правовой ответственности перевозчика перед пассажирами (далее - обязательное страхование ответственности перевозчика)</w:t>
      </w:r>
    </w:p>
    <w:p>
      <w:pPr>
        <w:pStyle w:val="BodyText"/>
        <w:ind w:left="143" w:right="662"/>
        <w:jc w:val="both"/>
      </w:pPr>
      <w:r>
        <w:rPr/>
        <w:t>является имущественный интерес перевозчика, связанный с его обязанностью, установленной гражданским</w:t>
      </w:r>
      <w:r>
        <w:rPr>
          <w:spacing w:val="-2"/>
        </w:rPr>
        <w:t> </w:t>
      </w:r>
      <w:r>
        <w:rPr/>
        <w:t>законодательством</w:t>
      </w:r>
      <w:r>
        <w:rPr>
          <w:spacing w:val="-2"/>
        </w:rPr>
        <w:t> </w:t>
      </w:r>
      <w:r>
        <w:rPr/>
        <w:t>Республики Казахстан,</w:t>
      </w:r>
      <w:r>
        <w:rPr>
          <w:spacing w:val="-1"/>
        </w:rPr>
        <w:t> </w:t>
      </w:r>
      <w:r>
        <w:rPr/>
        <w:t>возместить вред,</w:t>
      </w:r>
      <w:r>
        <w:rPr>
          <w:spacing w:val="-1"/>
        </w:rPr>
        <w:t> </w:t>
      </w:r>
      <w:r>
        <w:rPr/>
        <w:t>причиненный</w:t>
      </w:r>
      <w:r>
        <w:rPr>
          <w:spacing w:val="-1"/>
        </w:rPr>
        <w:t> </w:t>
      </w:r>
      <w:r>
        <w:rPr/>
        <w:t>жизни, здоровью и (или) имуществу пассажиров при их перевозке.</w:t>
      </w:r>
    </w:p>
    <w:p>
      <w:pPr>
        <w:spacing w:before="231"/>
        <w:ind w:left="143" w:right="269" w:firstLine="0"/>
        <w:jc w:val="both"/>
        <w:rPr>
          <w:sz w:val="24"/>
        </w:rPr>
      </w:pPr>
      <w:r>
        <w:rPr>
          <w:b/>
          <w:sz w:val="24"/>
        </w:rPr>
        <w:t>Страховой случай обязательного страхования гражданско-правовой ответственности перевозчика перед пассажирами</w:t>
      </w:r>
      <w:r>
        <w:rPr>
          <w:sz w:val="24"/>
        </w:rPr>
        <w:t>: Страховым случаем по обязательному страхованию ответственности перевозчика признается факт наступления гражданско-правовой ответственности перевозчика</w:t>
      </w:r>
      <w:r>
        <w:rPr>
          <w:spacing w:val="-1"/>
          <w:sz w:val="24"/>
        </w:rPr>
        <w:t> </w:t>
      </w:r>
      <w:r>
        <w:rPr>
          <w:sz w:val="24"/>
        </w:rPr>
        <w:t>по возмещению вреда, причиненного жизни,</w:t>
      </w:r>
      <w:r>
        <w:rPr>
          <w:spacing w:val="-2"/>
          <w:sz w:val="24"/>
        </w:rPr>
        <w:t> </w:t>
      </w:r>
      <w:r>
        <w:rPr>
          <w:sz w:val="24"/>
        </w:rPr>
        <w:t>здоровью</w:t>
      </w:r>
      <w:r>
        <w:rPr>
          <w:spacing w:val="-2"/>
          <w:sz w:val="24"/>
        </w:rPr>
        <w:t> </w:t>
      </w:r>
      <w:r>
        <w:rPr>
          <w:sz w:val="24"/>
        </w:rPr>
        <w:t>и</w:t>
      </w:r>
      <w:r>
        <w:rPr>
          <w:spacing w:val="-2"/>
          <w:sz w:val="24"/>
        </w:rPr>
        <w:t> </w:t>
      </w:r>
      <w:r>
        <w:rPr>
          <w:sz w:val="24"/>
        </w:rPr>
        <w:t>(или)</w:t>
      </w:r>
      <w:r>
        <w:rPr>
          <w:spacing w:val="-1"/>
          <w:sz w:val="24"/>
        </w:rPr>
        <w:t> </w:t>
      </w:r>
      <w:r>
        <w:rPr>
          <w:sz w:val="24"/>
        </w:rPr>
        <w:t>имуществу</w:t>
      </w:r>
      <w:r>
        <w:rPr>
          <w:spacing w:val="-5"/>
          <w:sz w:val="24"/>
        </w:rPr>
        <w:t> </w:t>
      </w:r>
      <w:r>
        <w:rPr>
          <w:sz w:val="24"/>
        </w:rPr>
        <w:t>пассажиров при их перевозке.</w:t>
      </w:r>
    </w:p>
    <w:p>
      <w:pPr>
        <w:pStyle w:val="BodyText"/>
      </w:pPr>
    </w:p>
    <w:p>
      <w:pPr>
        <w:pStyle w:val="BodyText"/>
        <w:ind w:left="143" w:right="194"/>
        <w:jc w:val="both"/>
      </w:pPr>
      <w:r>
        <w:rPr/>
        <w:t>Размер вреда, причиненного жизни, здоровью и имуществу потерпевшего, определяется в соответствии с настоящим Законом Об обязательном страховании гражданско-правовой ответственности перевозчика перед пассажирами.</w:t>
      </w:r>
    </w:p>
    <w:p>
      <w:pPr>
        <w:pStyle w:val="BodyText"/>
        <w:spacing w:before="36"/>
      </w:pPr>
    </w:p>
    <w:p>
      <w:pPr>
        <w:spacing w:before="0"/>
        <w:ind w:left="143" w:right="0" w:firstLine="0"/>
        <w:jc w:val="left"/>
        <w:rPr>
          <w:sz w:val="24"/>
        </w:rPr>
      </w:pPr>
      <w:r>
        <w:rPr>
          <w:b/>
          <w:sz w:val="24"/>
        </w:rPr>
        <w:t>Период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страхования:</w:t>
      </w:r>
      <w:r>
        <w:rPr>
          <w:b/>
          <w:spacing w:val="-7"/>
          <w:sz w:val="24"/>
        </w:rPr>
        <w:t> </w:t>
      </w:r>
      <w:r>
        <w:rPr>
          <w:sz w:val="24"/>
        </w:rPr>
        <w:t>12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месяцев</w:t>
      </w:r>
    </w:p>
    <w:p>
      <w:pPr>
        <w:spacing w:line="249" w:lineRule="auto" w:before="46"/>
        <w:ind w:left="143" w:right="4615" w:firstLine="0"/>
        <w:jc w:val="left"/>
        <w:rPr>
          <w:sz w:val="24"/>
        </w:rPr>
      </w:pPr>
      <w:r>
        <w:rPr>
          <w:sz w:val="24"/>
        </w:rPr>
        <w:t>Срок поставки/оказания услуг: по заявке заказчика </w:t>
      </w:r>
      <w:r>
        <w:rPr>
          <w:b/>
          <w:spacing w:val="-2"/>
          <w:sz w:val="24"/>
        </w:rPr>
        <w:t>Меcто</w:t>
      </w:r>
      <w:r>
        <w:rPr>
          <w:b/>
          <w:spacing w:val="-8"/>
          <w:sz w:val="24"/>
        </w:rPr>
        <w:t> </w:t>
      </w:r>
      <w:r>
        <w:rPr>
          <w:b/>
          <w:spacing w:val="-2"/>
          <w:sz w:val="24"/>
        </w:rPr>
        <w:t>поставки/оказания</w:t>
      </w:r>
      <w:r>
        <w:rPr>
          <w:b/>
          <w:spacing w:val="-9"/>
          <w:sz w:val="24"/>
        </w:rPr>
        <w:t> </w:t>
      </w:r>
      <w:r>
        <w:rPr>
          <w:b/>
          <w:spacing w:val="-2"/>
          <w:sz w:val="24"/>
        </w:rPr>
        <w:t>услуг:</w:t>
      </w:r>
      <w:r>
        <w:rPr>
          <w:b/>
          <w:spacing w:val="-7"/>
          <w:sz w:val="24"/>
        </w:rPr>
        <w:t> </w:t>
      </w:r>
      <w:r>
        <w:rPr>
          <w:b/>
          <w:spacing w:val="-2"/>
          <w:sz w:val="24"/>
        </w:rPr>
        <w:t>Акмолинская</w:t>
      </w:r>
      <w:r>
        <w:rPr>
          <w:b/>
          <w:spacing w:val="-9"/>
          <w:sz w:val="24"/>
        </w:rPr>
        <w:t> </w:t>
      </w:r>
      <w:r>
        <w:rPr>
          <w:spacing w:val="-2"/>
          <w:sz w:val="24"/>
        </w:rPr>
        <w:t>область</w:t>
      </w:r>
    </w:p>
    <w:p>
      <w:pPr>
        <w:pStyle w:val="BodyText"/>
        <w:spacing w:before="222"/>
        <w:rPr>
          <w:sz w:val="20"/>
        </w:rPr>
      </w:pPr>
    </w:p>
    <w:tbl>
      <w:tblPr>
        <w:tblW w:w="0" w:type="auto"/>
        <w:jc w:val="left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8"/>
        <w:gridCol w:w="2580"/>
      </w:tblGrid>
      <w:tr>
        <w:trPr>
          <w:trHeight w:val="664" w:hRule="atLeast"/>
        </w:trPr>
        <w:tc>
          <w:tcPr>
            <w:tcW w:w="4818" w:type="dxa"/>
          </w:tcPr>
          <w:p>
            <w:pPr>
              <w:pStyle w:val="TableParagraph"/>
              <w:ind w:left="2018" w:right="1025" w:hanging="984"/>
              <w:rPr>
                <w:b/>
                <w:sz w:val="20"/>
              </w:rPr>
            </w:pPr>
            <w:r>
              <w:rPr>
                <w:b/>
                <w:sz w:val="20"/>
              </w:rPr>
              <w:t>Марка,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модель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транспортного </w:t>
            </w:r>
            <w:r>
              <w:rPr>
                <w:b/>
                <w:spacing w:val="-2"/>
                <w:sz w:val="20"/>
              </w:rPr>
              <w:t>средства</w:t>
            </w:r>
          </w:p>
        </w:tc>
        <w:tc>
          <w:tcPr>
            <w:tcW w:w="2580" w:type="dxa"/>
          </w:tcPr>
          <w:p>
            <w:pPr>
              <w:pStyle w:val="TableParagraph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Категория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ТС</w:t>
            </w:r>
          </w:p>
        </w:tc>
      </w:tr>
      <w:tr>
        <w:trPr>
          <w:trHeight w:val="664" w:hRule="atLeast"/>
        </w:trPr>
        <w:tc>
          <w:tcPr>
            <w:tcW w:w="4818" w:type="dxa"/>
          </w:tcPr>
          <w:p>
            <w:pPr>
              <w:pStyle w:val="TableParagraph"/>
              <w:spacing w:line="275" w:lineRule="exact"/>
              <w:ind w:left="11"/>
              <w:rPr>
                <w:i/>
                <w:sz w:val="24"/>
              </w:rPr>
            </w:pPr>
            <w:r>
              <w:rPr>
                <w:i/>
                <w:sz w:val="24"/>
              </w:rPr>
              <w:t>ГАЗ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A65R33, 2024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год,</w:t>
            </w:r>
            <w:r>
              <w:rPr>
                <w:i/>
                <w:spacing w:val="58"/>
                <w:sz w:val="24"/>
              </w:rPr>
              <w:t> </w:t>
            </w:r>
            <w:r>
              <w:rPr>
                <w:i/>
                <w:spacing w:val="-10"/>
                <w:sz w:val="24"/>
              </w:rPr>
              <w:t>D</w:t>
            </w:r>
          </w:p>
        </w:tc>
        <w:tc>
          <w:tcPr>
            <w:tcW w:w="2580" w:type="dxa"/>
          </w:tcPr>
          <w:p>
            <w:pPr>
              <w:pStyle w:val="TableParagraph"/>
              <w:spacing w:line="251" w:lineRule="exact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автобус</w:t>
            </w:r>
          </w:p>
        </w:tc>
      </w:tr>
    </w:tbl>
    <w:p>
      <w:pPr>
        <w:pStyle w:val="TableParagraph"/>
        <w:spacing w:after="0" w:line="251" w:lineRule="exact"/>
        <w:jc w:val="center"/>
        <w:rPr>
          <w:sz w:val="22"/>
        </w:rPr>
        <w:sectPr>
          <w:type w:val="continuous"/>
          <w:pgSz w:w="11920" w:h="16850"/>
          <w:pgMar w:top="1520" w:bottom="280" w:left="850" w:right="425"/>
        </w:sectPr>
      </w:pPr>
    </w:p>
    <w:p>
      <w:pPr>
        <w:spacing w:before="76"/>
        <w:ind w:left="613" w:right="759" w:firstLine="0"/>
        <w:jc w:val="center"/>
        <w:rPr>
          <w:b/>
          <w:sz w:val="23"/>
        </w:rPr>
      </w:pPr>
      <w:r>
        <w:rPr>
          <w:b/>
          <w:w w:val="105"/>
          <w:sz w:val="23"/>
        </w:rPr>
        <w:t>ТЕХНИКАЛЫҚ</w:t>
      </w:r>
      <w:r>
        <w:rPr>
          <w:b/>
          <w:spacing w:val="44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СИПАТТАМАСЫ</w:t>
      </w:r>
    </w:p>
    <w:p>
      <w:pPr>
        <w:pStyle w:val="BodyText"/>
        <w:spacing w:before="28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541019</wp:posOffset>
                </wp:positionH>
                <wp:positionV relativeFrom="paragraph">
                  <wp:posOffset>179274</wp:posOffset>
                </wp:positionV>
                <wp:extent cx="6699884" cy="861060"/>
                <wp:effectExtent l="0" t="0" r="0" b="0"/>
                <wp:wrapTopAndBottom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6699884" cy="861060"/>
                        </a:xfrm>
                        <a:prstGeom prst="rect">
                          <a:avLst/>
                        </a:prstGeom>
                        <a:solidFill>
                          <a:srgbClr val="F8F8F9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470" w:lineRule="auto"/>
                              <w:ind w:left="2009" w:right="909" w:hanging="12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1F1F1F"/>
                              </w:rPr>
                              <w:t>Тасымалдаушылардың</w:t>
                            </w:r>
                            <w:r>
                              <w:rPr>
                                <w:color w:val="1F1F1F"/>
                                <w:spacing w:val="-9"/>
                              </w:rPr>
                              <w:t> </w:t>
                            </w:r>
                            <w:r>
                              <w:rPr>
                                <w:color w:val="1F1F1F"/>
                              </w:rPr>
                              <w:t>жолаушылар</w:t>
                            </w:r>
                            <w:r>
                              <w:rPr>
                                <w:color w:val="1F1F1F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color w:val="1F1F1F"/>
                              </w:rPr>
                              <w:t>алдындағы</w:t>
                            </w:r>
                            <w:r>
                              <w:rPr>
                                <w:color w:val="1F1F1F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color w:val="1F1F1F"/>
                              </w:rPr>
                              <w:t>азаматтық-құқықтық</w:t>
                            </w:r>
                            <w:r>
                              <w:rPr>
                                <w:color w:val="1F1F1F"/>
                                <w:spacing w:val="-12"/>
                              </w:rPr>
                              <w:t> </w:t>
                            </w:r>
                            <w:r>
                              <w:rPr>
                                <w:color w:val="1F1F1F"/>
                              </w:rPr>
                              <w:t>жауапкершілігін сақтандыру бойынша қызметтер (көлік иелерін қоспағанда)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42.599998pt;margin-top:14.116123pt;width:527.550pt;height:67.8pt;mso-position-horizontal-relative:page;mso-position-vertical-relative:paragraph;z-index:-15728640;mso-wrap-distance-left:0;mso-wrap-distance-right:0" type="#_x0000_t202" id="docshape1" filled="true" fillcolor="#f8f8f9" stroked="false">
                <v:textbox inset="0,0,0,0">
                  <w:txbxContent>
                    <w:p>
                      <w:pPr>
                        <w:pStyle w:val="BodyText"/>
                        <w:spacing w:line="470" w:lineRule="auto"/>
                        <w:ind w:left="2009" w:right="909" w:hanging="1260"/>
                        <w:rPr>
                          <w:color w:val="000000"/>
                        </w:rPr>
                      </w:pPr>
                      <w:r>
                        <w:rPr>
                          <w:color w:val="1F1F1F"/>
                        </w:rPr>
                        <w:t>Тасымалдаушылардың</w:t>
                      </w:r>
                      <w:r>
                        <w:rPr>
                          <w:color w:val="1F1F1F"/>
                          <w:spacing w:val="-9"/>
                        </w:rPr>
                        <w:t> </w:t>
                      </w:r>
                      <w:r>
                        <w:rPr>
                          <w:color w:val="1F1F1F"/>
                        </w:rPr>
                        <w:t>жолаушылар</w:t>
                      </w:r>
                      <w:r>
                        <w:rPr>
                          <w:color w:val="1F1F1F"/>
                          <w:spacing w:val="-10"/>
                        </w:rPr>
                        <w:t> </w:t>
                      </w:r>
                      <w:r>
                        <w:rPr>
                          <w:color w:val="1F1F1F"/>
                        </w:rPr>
                        <w:t>алдындағы</w:t>
                      </w:r>
                      <w:r>
                        <w:rPr>
                          <w:color w:val="1F1F1F"/>
                          <w:spacing w:val="-10"/>
                        </w:rPr>
                        <w:t> </w:t>
                      </w:r>
                      <w:r>
                        <w:rPr>
                          <w:color w:val="1F1F1F"/>
                        </w:rPr>
                        <w:t>азаматтық-құқықтық</w:t>
                      </w:r>
                      <w:r>
                        <w:rPr>
                          <w:color w:val="1F1F1F"/>
                          <w:spacing w:val="-12"/>
                        </w:rPr>
                        <w:t> </w:t>
                      </w:r>
                      <w:r>
                        <w:rPr>
                          <w:color w:val="1F1F1F"/>
                        </w:rPr>
                        <w:t>жауапкершілігін сақтандыру бойынша қызметтер (көлік иелерін қоспағанда)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ind w:left="30" w:right="115"/>
        <w:jc w:val="both"/>
      </w:pPr>
      <w:r>
        <w:rPr/>
        <w:t>Міндетті сақтандыру объектісі азаматтық-құқықтық жауапкершілігі тасымалдаушының жолаушылар алдындағы: міндетті сақтандыру Объектісі азаматтық-құқықтық жауапкершілігі тасымалдаушының жолаушылар алдындағы (бұдан әрі - тасымалдаушының жауапкершілігін міндетті сақтандыру)</w:t>
      </w:r>
    </w:p>
    <w:p>
      <w:pPr>
        <w:pStyle w:val="BodyText"/>
        <w:ind w:left="30" w:right="111"/>
        <w:jc w:val="both"/>
      </w:pPr>
      <w:r>
        <w:rPr/>
        <w:t>болып</w:t>
      </w:r>
      <w:r>
        <w:rPr>
          <w:spacing w:val="-5"/>
        </w:rPr>
        <w:t> </w:t>
      </w:r>
      <w:r>
        <w:rPr/>
        <w:t>табылады</w:t>
      </w:r>
      <w:r>
        <w:rPr>
          <w:spacing w:val="-6"/>
        </w:rPr>
        <w:t> </w:t>
      </w:r>
      <w:r>
        <w:rPr/>
        <w:t>мүліктік</w:t>
      </w:r>
      <w:r>
        <w:rPr>
          <w:spacing w:val="-5"/>
        </w:rPr>
        <w:t> </w:t>
      </w:r>
      <w:r>
        <w:rPr/>
        <w:t>мүддесі</w:t>
      </w:r>
      <w:r>
        <w:rPr>
          <w:spacing w:val="-5"/>
        </w:rPr>
        <w:t> </w:t>
      </w:r>
      <w:r>
        <w:rPr/>
        <w:t>тасымалдаушының</w:t>
      </w:r>
      <w:r>
        <w:rPr>
          <w:spacing w:val="-5"/>
        </w:rPr>
        <w:t> </w:t>
      </w:r>
      <w:r>
        <w:rPr/>
        <w:t>жолаушылар</w:t>
      </w:r>
      <w:r>
        <w:rPr>
          <w:spacing w:val="-6"/>
        </w:rPr>
        <w:t> </w:t>
      </w:r>
      <w:r>
        <w:rPr/>
        <w:t>алдындағы</w:t>
      </w:r>
      <w:r>
        <w:rPr>
          <w:spacing w:val="-6"/>
        </w:rPr>
        <w:t> </w:t>
      </w:r>
      <w:r>
        <w:rPr/>
        <w:t>міндетіне</w:t>
      </w:r>
      <w:r>
        <w:rPr>
          <w:spacing w:val="-7"/>
        </w:rPr>
        <w:t> </w:t>
      </w:r>
      <w:r>
        <w:rPr/>
        <w:t>байланысты, Қазақстан Республикасы азаматтық заңдарында белгіленген, келтірілген зиянды өтеуге өміріне, денсаулығына және (немесе) мүлкіне.</w:t>
      </w:r>
    </w:p>
    <w:p>
      <w:pPr>
        <w:pStyle w:val="BodyText"/>
        <w:spacing w:before="276"/>
        <w:ind w:left="30" w:right="112"/>
        <w:jc w:val="both"/>
      </w:pPr>
      <w:r>
        <w:rPr/>
        <w:t>Сақтандыру жағдайы міндетті сақтандыру азаматтық-құқықтық жауапкершілігі тасымалдаушының жолаушылар алдындағы: Сақтандыру тасымалдаушының жауапкершілігін міндетті сақтандыру бойынша танылады басталу фактісі тасымалдаушының азаматтық-құқықтық жауапкершілігін келтірілген зиянды өтеу жөніндегі өміріне, денсаулығына және (немесе) мүлкіне.</w:t>
      </w:r>
    </w:p>
    <w:p>
      <w:pPr>
        <w:pStyle w:val="BodyText"/>
        <w:spacing w:before="276"/>
        <w:ind w:left="30" w:right="115"/>
        <w:jc w:val="both"/>
      </w:pPr>
      <w:r>
        <w:rPr/>
        <w:t>келтірілген зиянның Мөлшері өмір, жәбірленушінің денсаулығына және мүлкіне, анықталады, осы Заңға сәйкес міндетті сақтандыру Туралы азаматтық-құқықтық жауапкершілігі тасымалдаушының жолаушылар алдындағы.</w:t>
      </w:r>
    </w:p>
    <w:p>
      <w:pPr>
        <w:pStyle w:val="BodyText"/>
      </w:pPr>
    </w:p>
    <w:p>
      <w:pPr>
        <w:pStyle w:val="BodyText"/>
        <w:ind w:left="30"/>
        <w:jc w:val="both"/>
      </w:pPr>
      <w:r>
        <w:rPr/>
        <w:t>Сақтандыру</w:t>
      </w:r>
      <w:r>
        <w:rPr>
          <w:spacing w:val="-7"/>
        </w:rPr>
        <w:t> </w:t>
      </w:r>
      <w:r>
        <w:rPr/>
        <w:t>мерзімі</w:t>
      </w:r>
      <w:r>
        <w:rPr>
          <w:spacing w:val="-1"/>
        </w:rPr>
        <w:t> </w:t>
      </w:r>
      <w:r>
        <w:rPr/>
        <w:t>: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>
          <w:spacing w:val="-5"/>
        </w:rPr>
        <w:t>ай</w:t>
      </w:r>
    </w:p>
    <w:p>
      <w:pPr>
        <w:pStyle w:val="BodyText"/>
        <w:ind w:left="30" w:right="2166"/>
        <w:rPr>
          <w:sz w:val="22"/>
        </w:rPr>
      </w:pPr>
      <w:r>
        <w:rPr/>
        <w:t>Жеткізу</w:t>
      </w:r>
      <w:r>
        <w:rPr>
          <w:spacing w:val="-11"/>
        </w:rPr>
        <w:t> </w:t>
      </w:r>
      <w:r>
        <w:rPr/>
        <w:t>/</w:t>
      </w:r>
      <w:r>
        <w:rPr>
          <w:spacing w:val="-4"/>
        </w:rPr>
        <w:t> </w:t>
      </w:r>
      <w:r>
        <w:rPr/>
        <w:t>қызмет</w:t>
      </w:r>
      <w:r>
        <w:rPr>
          <w:spacing w:val="-4"/>
        </w:rPr>
        <w:t> </w:t>
      </w:r>
      <w:r>
        <w:rPr/>
        <w:t>көрсету</w:t>
      </w:r>
      <w:r>
        <w:rPr>
          <w:spacing w:val="-5"/>
        </w:rPr>
        <w:t> </w:t>
      </w:r>
      <w:r>
        <w:rPr/>
        <w:t>уақыты:</w:t>
      </w:r>
      <w:r>
        <w:rPr>
          <w:spacing w:val="-1"/>
        </w:rPr>
        <w:t> </w:t>
      </w:r>
      <w:r>
        <w:rPr/>
        <w:t>тұтынушының</w:t>
      </w:r>
      <w:r>
        <w:rPr>
          <w:spacing w:val="-4"/>
        </w:rPr>
        <w:t> </w:t>
      </w:r>
      <w:r>
        <w:rPr/>
        <w:t>өтініші</w:t>
      </w:r>
      <w:r>
        <w:rPr>
          <w:spacing w:val="-2"/>
        </w:rPr>
        <w:t> </w:t>
      </w:r>
      <w:r>
        <w:rPr/>
        <w:t>бойынша Жеткізу/қызмет көрсету орны: </w:t>
      </w:r>
      <w:r>
        <w:rPr>
          <w:sz w:val="22"/>
        </w:rPr>
        <w:t>Ақмола облысы</w:t>
      </w:r>
    </w:p>
    <w:p>
      <w:pPr>
        <w:pStyle w:val="BodyText"/>
        <w:spacing w:before="47"/>
        <w:rPr>
          <w:sz w:val="20"/>
        </w:rPr>
      </w:pPr>
    </w:p>
    <w:tbl>
      <w:tblPr>
        <w:tblW w:w="0" w:type="auto"/>
        <w:jc w:val="left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8"/>
        <w:gridCol w:w="2580"/>
      </w:tblGrid>
      <w:tr>
        <w:trPr>
          <w:trHeight w:val="664" w:hRule="atLeast"/>
        </w:trPr>
        <w:tc>
          <w:tcPr>
            <w:tcW w:w="4818" w:type="dxa"/>
          </w:tcPr>
          <w:p>
            <w:pPr>
              <w:pStyle w:val="TableParagraph"/>
              <w:ind w:left="2018" w:right="1025" w:hanging="984"/>
              <w:rPr>
                <w:b/>
                <w:sz w:val="20"/>
              </w:rPr>
            </w:pPr>
            <w:r>
              <w:rPr>
                <w:b/>
                <w:sz w:val="20"/>
              </w:rPr>
              <w:t>Марка,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модель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транспортного </w:t>
            </w:r>
            <w:r>
              <w:rPr>
                <w:b/>
                <w:spacing w:val="-2"/>
                <w:sz w:val="20"/>
              </w:rPr>
              <w:t>средства</w:t>
            </w:r>
          </w:p>
        </w:tc>
        <w:tc>
          <w:tcPr>
            <w:tcW w:w="2580" w:type="dxa"/>
          </w:tcPr>
          <w:p>
            <w:pPr>
              <w:pStyle w:val="TableParagraph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Категория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ТС</w:t>
            </w:r>
          </w:p>
        </w:tc>
      </w:tr>
      <w:tr>
        <w:trPr>
          <w:trHeight w:val="664" w:hRule="atLeast"/>
        </w:trPr>
        <w:tc>
          <w:tcPr>
            <w:tcW w:w="4818" w:type="dxa"/>
          </w:tcPr>
          <w:p>
            <w:pPr>
              <w:pStyle w:val="TableParagraph"/>
              <w:spacing w:line="275" w:lineRule="exact"/>
              <w:ind w:left="4"/>
              <w:rPr>
                <w:i/>
                <w:sz w:val="24"/>
              </w:rPr>
            </w:pPr>
            <w:r>
              <w:rPr>
                <w:i/>
                <w:sz w:val="24"/>
              </w:rPr>
              <w:t>ГАЗ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A65R33, 2024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жыл,</w:t>
            </w:r>
            <w:r>
              <w:rPr>
                <w:i/>
                <w:spacing w:val="57"/>
                <w:sz w:val="24"/>
              </w:rPr>
              <w:t> </w:t>
            </w:r>
            <w:r>
              <w:rPr>
                <w:i/>
                <w:spacing w:val="-10"/>
                <w:sz w:val="24"/>
              </w:rPr>
              <w:t>D</w:t>
            </w:r>
          </w:p>
        </w:tc>
        <w:tc>
          <w:tcPr>
            <w:tcW w:w="2580" w:type="dxa"/>
          </w:tcPr>
          <w:p>
            <w:pPr>
              <w:pStyle w:val="TableParagraph"/>
              <w:spacing w:line="251" w:lineRule="exact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автобус</w:t>
            </w:r>
          </w:p>
        </w:tc>
      </w:tr>
    </w:tbl>
    <w:sectPr>
      <w:pgSz w:w="11920" w:h="16850"/>
      <w:pgMar w:top="1520" w:bottom="280" w:left="850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ind w:left="19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dcterms:created xsi:type="dcterms:W3CDTF">2026-10-06T13:15:48Z</dcterms:created>
  <dcterms:modified xsi:type="dcterms:W3CDTF">2026-10-06T13:15:48Z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2026-09-30T00:00:00Z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2026-10-06T00:00:00Z</vt:filetime>
  </property>
  <property fmtid="{D5CDD505-2E9C-101B-9397-08002B2CF9AE}" pid="6" name="Producer">
    <vt:lpwstr>Microsoft® Word 2019</vt:lpwstr>
  </property>
</Properties>
</file>