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9B23A" w14:textId="2CE741FD" w:rsidR="00BE7020" w:rsidRDefault="00BE7020" w:rsidP="00BB4E6D">
      <w:pPr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«</w:t>
      </w:r>
      <w:r w:rsidR="00251CCA" w:rsidRPr="00251CCA">
        <w:rPr>
          <w:rFonts w:ascii="Times New Roman" w:hAnsi="Times New Roman"/>
          <w:b/>
          <w:sz w:val="24"/>
          <w:szCs w:val="24"/>
          <w:lang w:val="kk-KZ"/>
        </w:rPr>
        <w:t xml:space="preserve">ХҚЕС-ке көшу жағдайында мемлекеттік органдарда негізгі құралдарды тиімді есепке алу. Активтер мен міндеттемелерді </w:t>
      </w:r>
      <w:r w:rsidR="00BB4E6D">
        <w:rPr>
          <w:rFonts w:ascii="Times New Roman" w:hAnsi="Times New Roman"/>
          <w:b/>
          <w:sz w:val="24"/>
          <w:szCs w:val="24"/>
          <w:lang w:val="kk-KZ"/>
        </w:rPr>
        <w:t>есепке алу</w:t>
      </w:r>
      <w:r w:rsidR="00251CCA" w:rsidRPr="00251CCA">
        <w:rPr>
          <w:rFonts w:ascii="Times New Roman" w:hAnsi="Times New Roman"/>
          <w:b/>
          <w:sz w:val="24"/>
          <w:szCs w:val="24"/>
          <w:lang w:val="kk-KZ"/>
        </w:rPr>
        <w:t xml:space="preserve">. Тауарлы-материалдық қорларды есепке алу және бақылау. Негізгі құралдар мен тауарлық-материалдық қорлар есебіндегі өзекті мәселелер: тексерулер мен </w:t>
      </w:r>
      <w:r w:rsidR="0061774F">
        <w:rPr>
          <w:rFonts w:ascii="Times New Roman" w:hAnsi="Times New Roman"/>
          <w:b/>
          <w:sz w:val="24"/>
          <w:szCs w:val="24"/>
          <w:lang w:val="kk-KZ"/>
        </w:rPr>
        <w:t>аудит</w:t>
      </w:r>
      <w:r w:rsidR="00251CCA" w:rsidRPr="00251CCA">
        <w:rPr>
          <w:rFonts w:ascii="Times New Roman" w:hAnsi="Times New Roman"/>
          <w:b/>
          <w:sz w:val="24"/>
          <w:szCs w:val="24"/>
          <w:lang w:val="kk-KZ"/>
        </w:rPr>
        <w:t xml:space="preserve"> кезінде анықталған қателер</w:t>
      </w:r>
      <w:r>
        <w:rPr>
          <w:rFonts w:ascii="Times New Roman" w:hAnsi="Times New Roman"/>
          <w:b/>
          <w:sz w:val="24"/>
          <w:szCs w:val="24"/>
          <w:lang w:val="kk-KZ"/>
        </w:rPr>
        <w:t>» атты сатып алынатын қызметтердің техникалық ерекшелігі</w:t>
      </w:r>
    </w:p>
    <w:p w14:paraId="0C576577" w14:textId="77777777" w:rsidR="00BE7020" w:rsidRDefault="00BE7020" w:rsidP="007C3B4E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2"/>
        <w:gridCol w:w="7284"/>
      </w:tblGrid>
      <w:tr w:rsidR="00BE7020" w:rsidRPr="0046609F" w14:paraId="04B3B970" w14:textId="77777777" w:rsidTr="00B001D4">
        <w:tc>
          <w:tcPr>
            <w:tcW w:w="2943" w:type="dxa"/>
          </w:tcPr>
          <w:p w14:paraId="0FDC4C97" w14:textId="77777777"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Қызмет атауы</w:t>
            </w:r>
          </w:p>
        </w:tc>
        <w:tc>
          <w:tcPr>
            <w:tcW w:w="7479" w:type="dxa"/>
          </w:tcPr>
          <w:p w14:paraId="117305D7" w14:textId="170E2B06" w:rsidR="00BE7020" w:rsidRPr="001B5A61" w:rsidRDefault="00BE7020" w:rsidP="00251CCA">
            <w:pPr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 w:rsidRPr="001B5A61">
              <w:rPr>
                <w:rFonts w:ascii="Times New Roman" w:eastAsia="MS Mincho" w:hAnsi="Times New Roman"/>
                <w:lang w:val="kk-KZ" w:eastAsia="ja-JP"/>
              </w:rPr>
              <w:t>«</w:t>
            </w:r>
            <w:r w:rsidR="00251CCA" w:rsidRPr="001B5A61">
              <w:rPr>
                <w:rFonts w:ascii="Times New Roman" w:eastAsia="MS Mincho" w:hAnsi="Times New Roman"/>
                <w:lang w:val="kk-KZ" w:eastAsia="ja-JP"/>
              </w:rPr>
              <w:t xml:space="preserve">ХҚЕС-ке көшу жағдайында мемлекеттік органдарда негізгі құралдарды тиімді есепке алу. Активтер мен міндеттемелерді </w:t>
            </w:r>
            <w:r w:rsidR="001B5A61" w:rsidRPr="001B5A61">
              <w:rPr>
                <w:rFonts w:ascii="Times New Roman" w:eastAsia="MS Mincho" w:hAnsi="Times New Roman"/>
                <w:lang w:val="kk-KZ" w:eastAsia="ja-JP"/>
              </w:rPr>
              <w:t>есепке алу</w:t>
            </w:r>
            <w:r w:rsidR="00251CCA" w:rsidRPr="001B5A61">
              <w:rPr>
                <w:rFonts w:ascii="Times New Roman" w:eastAsia="MS Mincho" w:hAnsi="Times New Roman"/>
                <w:lang w:val="kk-KZ" w:eastAsia="ja-JP"/>
              </w:rPr>
              <w:t xml:space="preserve">. Тауарлы-материалдық қорларды есепке алу және бақылау. Негізгі құралдар мен тауарлық-материалдық қорлар есебіндегі өзекті мәселелер: тексерулер мен </w:t>
            </w:r>
            <w:r w:rsidR="0061774F">
              <w:rPr>
                <w:rFonts w:ascii="Times New Roman" w:eastAsia="MS Mincho" w:hAnsi="Times New Roman"/>
                <w:lang w:val="kk-KZ" w:eastAsia="ja-JP"/>
              </w:rPr>
              <w:t>аудит</w:t>
            </w:r>
            <w:r w:rsidR="00251CCA" w:rsidRPr="001B5A61">
              <w:rPr>
                <w:rFonts w:ascii="Times New Roman" w:eastAsia="MS Mincho" w:hAnsi="Times New Roman"/>
                <w:lang w:val="kk-KZ" w:eastAsia="ja-JP"/>
              </w:rPr>
              <w:t xml:space="preserve"> кезінде анықталған қателер</w:t>
            </w:r>
            <w:r w:rsidRPr="001B5A61">
              <w:rPr>
                <w:rFonts w:ascii="Times New Roman" w:eastAsia="MS Mincho" w:hAnsi="Times New Roman"/>
                <w:lang w:val="kk-KZ" w:eastAsia="ja-JP"/>
              </w:rPr>
              <w:t>»</w:t>
            </w:r>
          </w:p>
        </w:tc>
      </w:tr>
      <w:tr w:rsidR="00BE7020" w:rsidRPr="0046609F" w14:paraId="394E2A12" w14:textId="77777777" w:rsidTr="00B001D4">
        <w:tc>
          <w:tcPr>
            <w:tcW w:w="2943" w:type="dxa"/>
          </w:tcPr>
          <w:p w14:paraId="7DDDB73B" w14:textId="77777777"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Қызмет</w:t>
            </w:r>
            <w:r w:rsidR="00B001D4"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 </w:t>
            </w: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көрсетудің орны мен тәсілі</w:t>
            </w:r>
          </w:p>
        </w:tc>
        <w:tc>
          <w:tcPr>
            <w:tcW w:w="7479" w:type="dxa"/>
          </w:tcPr>
          <w:p w14:paraId="3DCB3F74" w14:textId="6D62F139" w:rsidR="00BE7020" w:rsidRPr="001B5A61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 w:rsidRPr="001B5A61">
              <w:rPr>
                <w:rFonts w:ascii="Times New Roman" w:eastAsia="MS Mincho" w:hAnsi="Times New Roman"/>
                <w:lang w:val="kk-KZ" w:eastAsia="ja-JP"/>
              </w:rPr>
              <w:t>О</w:t>
            </w:r>
            <w:r w:rsidR="00264F25" w:rsidRPr="00264F25">
              <w:rPr>
                <w:rFonts w:ascii="Times New Roman" w:eastAsia="MS Mincho" w:hAnsi="Times New Roman"/>
                <w:lang w:val="kk-KZ" w:eastAsia="ja-JP"/>
              </w:rPr>
              <w:t>флайн</w:t>
            </w:r>
            <w:r w:rsidRPr="001B5A61">
              <w:rPr>
                <w:rFonts w:ascii="Times New Roman" w:eastAsia="MS Mincho" w:hAnsi="Times New Roman"/>
                <w:lang w:val="kk-KZ" w:eastAsia="ja-JP"/>
              </w:rPr>
              <w:t xml:space="preserve"> форматта</w:t>
            </w:r>
            <w:r w:rsidR="0068133D">
              <w:rPr>
                <w:rFonts w:ascii="Times New Roman" w:eastAsia="MS Mincho" w:hAnsi="Times New Roman"/>
                <w:lang w:val="kk-KZ" w:eastAsia="ja-JP"/>
              </w:rPr>
              <w:t xml:space="preserve">, </w:t>
            </w:r>
            <w:r w:rsidR="0046609F">
              <w:rPr>
                <w:rFonts w:ascii="Times New Roman" w:eastAsia="MS Mincho" w:hAnsi="Times New Roman"/>
                <w:lang w:val="kk-KZ" w:eastAsia="ja-JP"/>
              </w:rPr>
              <w:t xml:space="preserve">ы жыл ішінде, 5 күн, </w:t>
            </w:r>
            <w:r w:rsidR="0068133D">
              <w:rPr>
                <w:rFonts w:ascii="Times New Roman" w:eastAsia="MS Mincho" w:hAnsi="Times New Roman"/>
                <w:lang w:val="kk-KZ" w:eastAsia="ja-JP"/>
              </w:rPr>
              <w:t>Ақтау қ.</w:t>
            </w:r>
          </w:p>
        </w:tc>
      </w:tr>
      <w:tr w:rsidR="00BE7020" w:rsidRPr="0046609F" w14:paraId="7E5CE502" w14:textId="77777777" w:rsidTr="00B001D4">
        <w:tc>
          <w:tcPr>
            <w:tcW w:w="2943" w:type="dxa"/>
          </w:tcPr>
          <w:p w14:paraId="06B0C1B8" w14:textId="77777777"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Қажетті сипаттамалардың, параметрлердің және басқа да бастапқы </w:t>
            </w:r>
          </w:p>
        </w:tc>
        <w:tc>
          <w:tcPr>
            <w:tcW w:w="7479" w:type="dxa"/>
          </w:tcPr>
          <w:p w14:paraId="460466C4" w14:textId="54682AF9" w:rsidR="003E58A6" w:rsidRPr="00BB4E6D" w:rsidRDefault="00BB4E6D" w:rsidP="00BB4E6D">
            <w:pPr>
              <w:rPr>
                <w:rFonts w:ascii="Times New Roman" w:eastAsia="MS Mincho" w:hAnsi="Times New Roman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lang w:val="kk-KZ" w:eastAsia="ja-JP"/>
              </w:rPr>
              <w:t>ХҚЕС-ке көшуді ескере отырып, мемлекеттік органдарда негізгі құралдарды тиімді басқару бойынша Тапсырыс беруші қызметкерлерінің біліктілігін арттыру курстарында оқыту қызметі мыналарды қамтуы тиіс:</w:t>
            </w:r>
          </w:p>
          <w:p w14:paraId="665730C8" w14:textId="77777777" w:rsidR="00DC48DB" w:rsidRPr="00BB4E6D" w:rsidRDefault="00DC48DB" w:rsidP="00DC48DB">
            <w:pPr>
              <w:spacing w:after="0"/>
              <w:rPr>
                <w:rFonts w:ascii="Times New Roman" w:eastAsia="MS Mincho" w:hAnsi="Times New Roman"/>
                <w:b/>
                <w:bCs/>
                <w:sz w:val="20"/>
                <w:szCs w:val="20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b/>
                <w:bCs/>
                <w:sz w:val="20"/>
                <w:szCs w:val="20"/>
                <w:lang w:val="kk-KZ" w:eastAsia="ja-JP"/>
              </w:rPr>
              <w:t>Бухгалтерлік есепті тиімді басқару</w:t>
            </w:r>
          </w:p>
          <w:p w14:paraId="39F7559A" w14:textId="77777777"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құралдарды бастапқы бағалау (алғашқы тану)</w:t>
            </w:r>
          </w:p>
          <w:p w14:paraId="609BD2D4" w14:textId="77777777"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қорлардың өзіндік құнына кіретін шығындар</w:t>
            </w:r>
          </w:p>
          <w:p w14:paraId="54F3FFB5" w14:textId="77777777"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құралдарды сатып алу операцияларының есебі (корреспонденттік шоттар)</w:t>
            </w:r>
          </w:p>
          <w:p w14:paraId="2B486DB9" w14:textId="06555208"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Объектіні құру (құрылысы) кезіндегі негізгі құралдардың бастапқы құнын анықтау тәртібі</w:t>
            </w:r>
          </w:p>
          <w:p w14:paraId="21B149D9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кейінгі бағалау (негізгі құралдарды мойындаудан кейінгі бағалау)</w:t>
            </w:r>
          </w:p>
          <w:p w14:paraId="296ACC98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құнсыздануы</w:t>
            </w:r>
          </w:p>
          <w:p w14:paraId="0137B6FE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Өтелетін соманы анықтау</w:t>
            </w:r>
          </w:p>
          <w:p w14:paraId="5173E499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амортизациясы</w:t>
            </w:r>
          </w:p>
          <w:p w14:paraId="66158F82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пайдалы қызмет мерзімін және амортизациясын есептеу әдістерін қарастыру</w:t>
            </w:r>
          </w:p>
          <w:p w14:paraId="642F4FEE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6" w:anchor="sub_id=3" w:history="1">
              <w:r w:rsidRPr="0037664A">
                <w:rPr>
                  <w:rFonts w:ascii="Times New Roman" w:eastAsiaTheme="minorEastAsia" w:hAnsi="Times New Roman"/>
                  <w:sz w:val="20"/>
                  <w:szCs w:val="20"/>
                  <w:lang w:val="kk-KZ"/>
                </w:rPr>
                <w:t>НЕГІЗГІ</w:t>
              </w:r>
            </w:hyperlink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ҚҰРАЛДАРДЫ ШЫҒАРУ</w:t>
            </w:r>
          </w:p>
          <w:p w14:paraId="061A5846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шығару бойынша әртүрлі операциялар үшін қолданылатын бухгалтерлік корреспонденциялар</w:t>
            </w:r>
          </w:p>
          <w:p w14:paraId="3BB91DBE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Жерді есепке алу мәселелері </w:t>
            </w:r>
          </w:p>
          <w:p w14:paraId="47B6D139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ЖӨНДЕУ</w:t>
            </w:r>
          </w:p>
          <w:p w14:paraId="4B855152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кейінгі шығындарының есебі</w:t>
            </w:r>
          </w:p>
          <w:p w14:paraId="548D99EB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Кейінгі күрделі салымдардың есебі</w:t>
            </w:r>
          </w:p>
          <w:p w14:paraId="5756B21F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Күрделі жөндеуге жатқызылған жұмыс түрлерінің мысалдары</w:t>
            </w:r>
          </w:p>
          <w:p w14:paraId="33FC42BA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Кешенді тексеруге немесе күрделі жөндеуге кеткен шығындар</w:t>
            </w:r>
          </w:p>
          <w:p w14:paraId="6F98AFE3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Кейінгі күрделі емес шығындардың есебі</w:t>
            </w:r>
          </w:p>
          <w:p w14:paraId="4FA07AE5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Ағымдағы жөндеу ретінде жіктелген жұмыс түрлерінің мысалдары</w:t>
            </w:r>
          </w:p>
          <w:p w14:paraId="5A977E87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Техникалық қызмет көрсету ретінде жіктелген жұмыс түрлерінің мысалдары</w:t>
            </w:r>
          </w:p>
          <w:p w14:paraId="00DDEAFF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Жалға алынған негізгі құралдардың жөндеу жұмыстарының есебі</w:t>
            </w:r>
          </w:p>
          <w:p w14:paraId="5C8CE5F8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7" w:anchor="sub_id=409" w:history="1">
              <w:r w:rsidRPr="0037664A">
                <w:rPr>
                  <w:rFonts w:ascii="Times New Roman" w:eastAsiaTheme="minorEastAsia" w:hAnsi="Times New Roman"/>
                  <w:sz w:val="20"/>
                  <w:szCs w:val="20"/>
                  <w:lang w:val="kk-KZ"/>
                </w:rPr>
                <w:t>НЕГІЗГІ</w:t>
              </w:r>
            </w:hyperlink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ҚОРЛАРДЫ ЕСЕПКЕ АЛУ</w:t>
            </w:r>
          </w:p>
          <w:p w14:paraId="245F30D1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Есепке алу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қағидаларына өзгерістер енгізу туралы Қазақстан Республикасы Қаржы министрінің 2024 жылғы 24 желтоқсандағы No 863 бұйрығы.</w:t>
            </w:r>
          </w:p>
          <w:p w14:paraId="72E07912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ҚАРЖЫ ЕСЕПТІЛІГІНДЕГІ АҚПАРАТТЫ А</w:t>
            </w: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Ш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У</w:t>
            </w:r>
          </w:p>
          <w:p w14:paraId="28919BC1" w14:textId="77777777" w:rsidR="0037664A" w:rsidRPr="0037664A" w:rsidRDefault="0037664A" w:rsidP="0037664A">
            <w:pPr>
              <w:spacing w:after="0" w:line="240" w:lineRule="auto"/>
              <w:ind w:firstLine="400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</w:p>
          <w:p w14:paraId="75110A76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Материалдық қорларды есепке алу және бақылау, тексерулер мен </w:t>
            </w: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аудит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кезінде анықталған қателер.</w:t>
            </w:r>
          </w:p>
          <w:p w14:paraId="29CB386B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Тауарлық-материалдық қорларды алу</w:t>
            </w:r>
          </w:p>
          <w:p w14:paraId="74403BE8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Мысалдар</w:t>
            </w:r>
          </w:p>
          <w:p w14:paraId="5F4727B8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Тауарлы-материалдық қорларды сатып алу шығындарын бөлу</w:t>
            </w:r>
          </w:p>
          <w:p w14:paraId="47CBA22C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(шот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корреспонденциясы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14:paraId="6A195423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жүйелері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мысалдар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14:paraId="68BDC0F8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әдістері</w:t>
            </w:r>
            <w:proofErr w:type="spellEnd"/>
          </w:p>
          <w:p w14:paraId="52A0C668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Орташа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өлшенген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құн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әдісі</w:t>
            </w:r>
            <w:proofErr w:type="spellEnd"/>
          </w:p>
          <w:p w14:paraId="7CE8553A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FIFO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әдісі</w:t>
            </w:r>
            <w:proofErr w:type="spellEnd"/>
          </w:p>
          <w:p w14:paraId="781A7CEA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жойылуының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есебі</w:t>
            </w:r>
            <w:proofErr w:type="spellEnd"/>
          </w:p>
          <w:p w14:paraId="2B371E1C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сату</w:t>
            </w:r>
          </w:p>
          <w:p w14:paraId="7C8AF0CF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Консигнация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бойынша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сату</w:t>
            </w:r>
          </w:p>
          <w:p w14:paraId="794530D4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сату (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жолдағы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14:paraId="6E6F2A20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өндіріске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14:paraId="39B00A3B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шаруашылық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субъектілердің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жарғылық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капиталына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ТМҚ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аудару</w:t>
            </w:r>
            <w:proofErr w:type="spellEnd"/>
          </w:p>
          <w:p w14:paraId="318555F9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жетіспеушілік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жағдайында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жою</w:t>
            </w:r>
            <w:proofErr w:type="spellEnd"/>
          </w:p>
          <w:p w14:paraId="633FF172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жою</w:t>
            </w:r>
            <w:proofErr w:type="spellEnd"/>
          </w:p>
          <w:p w14:paraId="271E80E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және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құжаттау</w:t>
            </w:r>
            <w:proofErr w:type="spellEnd"/>
          </w:p>
          <w:p w14:paraId="5843D344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қозғалысының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негізгі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құжаттары</w:t>
            </w:r>
            <w:proofErr w:type="spellEnd"/>
          </w:p>
          <w:p w14:paraId="3D0CBE21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Қоймалардағы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14:paraId="2CE6DD71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Бухгалтерлік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есебі</w:t>
            </w:r>
            <w:proofErr w:type="spellEnd"/>
          </w:p>
          <w:p w14:paraId="2FCA0FA5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Жеке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топтарын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ерекшеліктері</w:t>
            </w:r>
            <w:proofErr w:type="spellEnd"/>
          </w:p>
          <w:p w14:paraId="75C6ED60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Жанар-жағармайларды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(F&amp;L)</w:t>
            </w:r>
          </w:p>
          <w:p w14:paraId="6B8D842B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F&amp;L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есебіне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қойылатын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жалпы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талаптар</w:t>
            </w:r>
            <w:proofErr w:type="spellEnd"/>
          </w:p>
          <w:p w14:paraId="2F144F0C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Сұйық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жанар-жағармайларды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көлемдік-гравитациялық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әдісін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қолдану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тәртібі</w:t>
            </w:r>
            <w:proofErr w:type="spellEnd"/>
          </w:p>
          <w:p w14:paraId="392948B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жанар-жағармайдың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түсуін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14:paraId="7FD767A6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автомобиль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көлігімен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тиеу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кезінде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)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ережесі</w:t>
            </w:r>
            <w:proofErr w:type="spellEnd"/>
          </w:p>
          <w:p w14:paraId="05B03CFA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өндірістік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қажеттіліктер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14:paraId="551FE510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шоттарындағы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)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ережелері</w:t>
            </w:r>
            <w:proofErr w:type="spellEnd"/>
          </w:p>
          <w:p w14:paraId="43A3710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шоттарынан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14:paraId="7033E7B1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Қосалқы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бөлшектерді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14:paraId="124C5C74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мен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14:paraId="1683780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14:paraId="4CA06CA0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Жөнелтілген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және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жөнелтілген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14:paraId="417405ED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Компанияның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.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активтерге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арналған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</w:t>
            </w:r>
          </w:p>
          <w:p w14:paraId="1B1419BC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құнсыздануы</w:t>
            </w:r>
            <w:proofErr w:type="spellEnd"/>
          </w:p>
          <w:p w14:paraId="6D2C0375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өткізу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анықтау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тәртібі</w:t>
            </w:r>
            <w:proofErr w:type="spellEnd"/>
          </w:p>
          <w:p w14:paraId="4C8D8841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Белгілі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бір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босалқылар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өткізу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анықтау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мысалдары</w:t>
            </w:r>
            <w:proofErr w:type="spellEnd"/>
          </w:p>
          <w:p w14:paraId="6CB0FD0D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күнінен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оқиғалардың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сату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дейін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сомасына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әсері</w:t>
            </w:r>
            <w:proofErr w:type="spellEnd"/>
          </w:p>
          <w:p w14:paraId="5CE8DAF3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кезеңдердегі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</w:p>
          <w:p w14:paraId="6C248699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баяу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жүретін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</w:t>
            </w:r>
          </w:p>
          <w:p w14:paraId="504C921E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күнінен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оқиғалардың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сомасына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әсері</w:t>
            </w:r>
            <w:proofErr w:type="spellEnd"/>
          </w:p>
          <w:p w14:paraId="248E708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санау</w:t>
            </w:r>
            <w:proofErr w:type="spellEnd"/>
          </w:p>
          <w:p w14:paraId="077FA68A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Қаржылық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берудегі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ақпаратты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ашу</w:t>
            </w:r>
            <w:proofErr w:type="spellEnd"/>
          </w:p>
          <w:p w14:paraId="3C166CDC" w14:textId="77777777" w:rsidR="0017097E" w:rsidRPr="0037664A" w:rsidRDefault="0017097E" w:rsidP="00DC48DB">
            <w:pPr>
              <w:spacing w:after="0"/>
              <w:rPr>
                <w:rFonts w:ascii="Times New Roman" w:eastAsia="MS Mincho" w:hAnsi="Times New Roman"/>
                <w:lang w:eastAsia="ja-JP"/>
              </w:rPr>
            </w:pPr>
          </w:p>
          <w:p w14:paraId="6A1E404D" w14:textId="0089387B" w:rsidR="00BE7020" w:rsidRPr="00BB4E6D" w:rsidRDefault="00BE7020" w:rsidP="00DC48DB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lang w:val="kk-KZ" w:eastAsia="ja-JP"/>
              </w:rPr>
              <w:t xml:space="preserve">Оқу күні ауыстырылған жағдайда Орындаушы Тапсырыс берушіге бұрын белгіленген оқу күніне дейін </w:t>
            </w:r>
            <w:r w:rsidR="0096395A" w:rsidRPr="00BB4E6D">
              <w:rPr>
                <w:rFonts w:ascii="Times New Roman" w:eastAsia="MS Mincho" w:hAnsi="Times New Roman"/>
                <w:lang w:val="kk-KZ" w:eastAsia="ja-JP"/>
              </w:rPr>
              <w:t>5</w:t>
            </w:r>
            <w:r w:rsidRPr="00BB4E6D">
              <w:rPr>
                <w:rFonts w:ascii="Times New Roman" w:eastAsia="MS Mincho" w:hAnsi="Times New Roman"/>
                <w:lang w:val="kk-KZ" w:eastAsia="ja-JP"/>
              </w:rPr>
              <w:t xml:space="preserve"> (б</w:t>
            </w:r>
            <w:r w:rsidR="0096395A" w:rsidRPr="00BB4E6D">
              <w:rPr>
                <w:rFonts w:ascii="Times New Roman" w:eastAsia="MS Mincho" w:hAnsi="Times New Roman"/>
                <w:lang w:val="kk-KZ" w:eastAsia="ja-JP"/>
              </w:rPr>
              <w:t>ес</w:t>
            </w:r>
            <w:r w:rsidRPr="00BB4E6D">
              <w:rPr>
                <w:rFonts w:ascii="Times New Roman" w:eastAsia="MS Mincho" w:hAnsi="Times New Roman"/>
                <w:lang w:val="kk-KZ" w:eastAsia="ja-JP"/>
              </w:rPr>
              <w:t>) жұмыс күнінен кешіктірмей ескертуге тиіс. Техникалық ақаулар болған жағдайда</w:t>
            </w:r>
            <w:r w:rsidR="0096395A" w:rsidRPr="00BB4E6D">
              <w:rPr>
                <w:rFonts w:ascii="Times New Roman" w:eastAsia="MS Mincho" w:hAnsi="Times New Roman"/>
                <w:lang w:val="kk-KZ" w:eastAsia="ja-JP"/>
              </w:rPr>
              <w:t xml:space="preserve">, </w:t>
            </w:r>
            <w:r w:rsidRPr="00BB4E6D">
              <w:rPr>
                <w:rFonts w:ascii="Times New Roman" w:eastAsia="MS Mincho" w:hAnsi="Times New Roman"/>
                <w:lang w:val="kk-KZ" w:eastAsia="ja-JP"/>
              </w:rPr>
              <w:t>Орындаушы ақауларды дереу жоюы керек.</w:t>
            </w:r>
          </w:p>
          <w:p w14:paraId="2595B87E" w14:textId="77777777" w:rsidR="00BE7020" w:rsidRPr="00BB4E6D" w:rsidRDefault="00BE7020" w:rsidP="00B001D4">
            <w:pPr>
              <w:spacing w:after="0"/>
              <w:jc w:val="both"/>
              <w:rPr>
                <w:rFonts w:ascii="Times New Roman" w:eastAsia="MS Mincho" w:hAnsi="Times New Roman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lang w:val="kk-KZ" w:eastAsia="ja-JP"/>
              </w:rPr>
              <w:t>Тапсырыс беруші өз қызметкерлерінің арасынан көрсетілетін қызметтердің техникалық ерекшелікте көрсетілген талаптарға сәйкестігін тексеру үшін жауапты адамды тағайындауға құқылы.</w:t>
            </w:r>
          </w:p>
          <w:p w14:paraId="7BD39089" w14:textId="77777777" w:rsidR="00BE7020" w:rsidRPr="00B001D4" w:rsidRDefault="00BE7020" w:rsidP="00B001D4">
            <w:pPr>
              <w:spacing w:after="0"/>
              <w:jc w:val="both"/>
              <w:rPr>
                <w:rFonts w:ascii="Times New Roman" w:eastAsia="MS Mincho" w:hAnsi="Times New Roman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lang w:val="kk-KZ" w:eastAsia="ja-JP"/>
              </w:rPr>
              <w:t>Оқу аяқталғаннан кейін Орындаушы Тапсырыс берушінің қызметкерлеріне атаулы сертификаттар береді</w:t>
            </w:r>
          </w:p>
        </w:tc>
      </w:tr>
      <w:tr w:rsidR="0096395A" w:rsidRPr="00B001D4" w14:paraId="311AC882" w14:textId="77777777" w:rsidTr="00B001D4">
        <w:tc>
          <w:tcPr>
            <w:tcW w:w="2943" w:type="dxa"/>
          </w:tcPr>
          <w:p w14:paraId="4CCA66B3" w14:textId="77777777"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lastRenderedPageBreak/>
              <w:t>Білім алушылардың саны</w:t>
            </w:r>
          </w:p>
        </w:tc>
        <w:tc>
          <w:tcPr>
            <w:tcW w:w="7479" w:type="dxa"/>
          </w:tcPr>
          <w:p w14:paraId="0BD2CD4D" w14:textId="7DB171DE" w:rsidR="0096395A" w:rsidRPr="00B001D4" w:rsidRDefault="0046609F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>
              <w:rPr>
                <w:rFonts w:ascii="Times New Roman" w:eastAsia="MS Mincho" w:hAnsi="Times New Roman"/>
                <w:lang w:val="kk-KZ" w:eastAsia="ja-JP"/>
              </w:rPr>
              <w:t xml:space="preserve">2 </w:t>
            </w:r>
            <w:r w:rsidR="0096395A" w:rsidRPr="00B001D4">
              <w:rPr>
                <w:rFonts w:ascii="Times New Roman" w:eastAsia="MS Mincho" w:hAnsi="Times New Roman"/>
                <w:lang w:val="kk-KZ" w:eastAsia="ja-JP"/>
              </w:rPr>
              <w:t>қызметкер</w:t>
            </w:r>
          </w:p>
        </w:tc>
      </w:tr>
      <w:tr w:rsidR="004540D9" w:rsidRPr="0046609F" w14:paraId="09DD24B7" w14:textId="77777777" w:rsidTr="00B001D4">
        <w:tc>
          <w:tcPr>
            <w:tcW w:w="2943" w:type="dxa"/>
          </w:tcPr>
          <w:p w14:paraId="6B8AEC48" w14:textId="77777777"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Төлем шарттары</w:t>
            </w:r>
          </w:p>
        </w:tc>
        <w:tc>
          <w:tcPr>
            <w:tcW w:w="7479" w:type="dxa"/>
          </w:tcPr>
          <w:p w14:paraId="4B9763D1" w14:textId="77777777" w:rsidR="004540D9" w:rsidRPr="00B001D4" w:rsidRDefault="004540D9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 xml:space="preserve">Төлем көрсетілген қызметтер актісіне қол қойылған күннен бастап </w:t>
            </w:r>
            <w:r w:rsidR="00B001D4" w:rsidRPr="00B001D4">
              <w:rPr>
                <w:rFonts w:ascii="Times New Roman" w:eastAsia="MS Mincho" w:hAnsi="Times New Roman"/>
                <w:lang w:val="kk-KZ" w:eastAsia="ja-JP"/>
              </w:rPr>
              <w:t>3</w:t>
            </w:r>
            <w:r w:rsidRPr="00B001D4">
              <w:rPr>
                <w:rFonts w:ascii="Times New Roman" w:eastAsia="MS Mincho" w:hAnsi="Times New Roman"/>
                <w:lang w:val="kk-KZ" w:eastAsia="ja-JP"/>
              </w:rPr>
              <w:t xml:space="preserve"> күнтізбелік күн ішінде көрсетілген қызметтер аяқталғаннан кейін жүзеге асырылады.</w:t>
            </w:r>
          </w:p>
        </w:tc>
      </w:tr>
      <w:tr w:rsidR="0096395A" w:rsidRPr="0046609F" w14:paraId="6DB06C4E" w14:textId="77777777" w:rsidTr="00B001D4">
        <w:tc>
          <w:tcPr>
            <w:tcW w:w="2943" w:type="dxa"/>
          </w:tcPr>
          <w:p w14:paraId="03D64784" w14:textId="77777777"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Орындаушыға қойылатын қосымша талаптар</w:t>
            </w:r>
          </w:p>
        </w:tc>
        <w:tc>
          <w:tcPr>
            <w:tcW w:w="7479" w:type="dxa"/>
          </w:tcPr>
          <w:p w14:paraId="4E824DEC" w14:textId="77777777" w:rsidR="0096395A" w:rsidRPr="00B001D4" w:rsidRDefault="0096395A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>Орындаушы сатып алуға қатысқан кезде мыналарды ұсынуы тиіс</w:t>
            </w:r>
          </w:p>
          <w:p w14:paraId="77F42EB2" w14:textId="77777777" w:rsidR="0096395A" w:rsidRPr="00B001D4" w:rsidRDefault="0096395A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>ҚР Қаржы Министрлігі жанындағы Ішкі мемлекеттік аудит комитеті берген аккредиттеу туралы куәлік.</w:t>
            </w:r>
          </w:p>
        </w:tc>
      </w:tr>
    </w:tbl>
    <w:p w14:paraId="13367B41" w14:textId="77777777"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14:paraId="5A1FE933" w14:textId="77777777"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14:paraId="26F74BF1" w14:textId="77777777"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14:paraId="426FC9A5" w14:textId="15422E4F" w:rsidR="0096395A" w:rsidRPr="004540D9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  <w:r w:rsidRPr="004540D9">
        <w:rPr>
          <w:rFonts w:ascii="Times New Roman" w:eastAsia="MS Mincho" w:hAnsi="Times New Roman"/>
          <w:b/>
          <w:bCs/>
          <w:lang w:val="kk-KZ" w:eastAsia="ja-JP"/>
        </w:rPr>
        <w:lastRenderedPageBreak/>
        <w:t>Техническая спецификация закупаемых услуг на</w:t>
      </w:r>
    </w:p>
    <w:p w14:paraId="5597A1C5" w14:textId="4019C162" w:rsidR="0096395A" w:rsidRPr="004540D9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  <w:r w:rsidRPr="004540D9">
        <w:rPr>
          <w:rFonts w:ascii="Times New Roman" w:eastAsia="MS Mincho" w:hAnsi="Times New Roman"/>
          <w:b/>
          <w:bCs/>
          <w:lang w:val="kk-KZ" w:eastAsia="ja-JP"/>
        </w:rPr>
        <w:t>обучение в курсах повышения квалификации по теме: «</w:t>
      </w:r>
      <w:r w:rsidR="00251CCA" w:rsidRPr="00984579">
        <w:rPr>
          <w:rFonts w:ascii="Times New Roman" w:hAnsi="Times New Roman"/>
          <w:sz w:val="24"/>
          <w:szCs w:val="24"/>
        </w:rPr>
        <w:t>Эффективное ведение учета основных средств в государственных учреждениях с учетом перехода на МСФО</w:t>
      </w:r>
      <w:r w:rsidR="0000608B">
        <w:rPr>
          <w:rFonts w:ascii="Times New Roman" w:hAnsi="Times New Roman"/>
          <w:sz w:val="24"/>
          <w:szCs w:val="24"/>
          <w:lang w:val="kk-KZ"/>
        </w:rPr>
        <w:t>ОС</w:t>
      </w:r>
      <w:r w:rsidR="00251CCA" w:rsidRPr="00984579">
        <w:rPr>
          <w:rFonts w:ascii="Times New Roman" w:hAnsi="Times New Roman"/>
          <w:sz w:val="24"/>
          <w:szCs w:val="24"/>
        </w:rPr>
        <w:t>. Инвентаризация активов и обязательств. Учет и контроль материальных запасов. Актуальные вопросы учета основных средств и запасов: ошибки, выявленные в ходе проверок и аудита</w:t>
      </w:r>
      <w:r w:rsidRPr="004540D9">
        <w:rPr>
          <w:rFonts w:ascii="Times New Roman" w:eastAsia="MS Mincho" w:hAnsi="Times New Roman"/>
          <w:b/>
          <w:bCs/>
          <w:lang w:val="kk-KZ" w:eastAsia="ja-JP"/>
        </w:rPr>
        <w:t>».</w:t>
      </w:r>
    </w:p>
    <w:p w14:paraId="3525F2CF" w14:textId="77777777" w:rsidR="0096395A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3"/>
        <w:gridCol w:w="7293"/>
      </w:tblGrid>
      <w:tr w:rsidR="0096395A" w:rsidRPr="00B001D4" w14:paraId="57F57642" w14:textId="77777777" w:rsidTr="00B001D4">
        <w:tc>
          <w:tcPr>
            <w:tcW w:w="2943" w:type="dxa"/>
          </w:tcPr>
          <w:p w14:paraId="0BE0CCCA" w14:textId="77777777"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Наименование услуги</w:t>
            </w:r>
          </w:p>
        </w:tc>
        <w:tc>
          <w:tcPr>
            <w:tcW w:w="7479" w:type="dxa"/>
          </w:tcPr>
          <w:p w14:paraId="4A1D0FD7" w14:textId="605B1808" w:rsidR="0096395A" w:rsidRPr="00D74743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D74743">
              <w:rPr>
                <w:rFonts w:ascii="Times New Roman" w:eastAsia="MS Mincho" w:hAnsi="Times New Roman"/>
                <w:b/>
                <w:bCs/>
                <w:lang w:eastAsia="ja-JP"/>
              </w:rPr>
              <w:t>«</w:t>
            </w:r>
            <w:r w:rsidR="00251CCA" w:rsidRPr="00984579">
              <w:rPr>
                <w:rFonts w:ascii="Times New Roman" w:hAnsi="Times New Roman"/>
                <w:sz w:val="24"/>
                <w:szCs w:val="24"/>
              </w:rPr>
              <w:t>Эффективное ведение учета основных средств в государственных учреждениях с учетом перехода на МСФО</w:t>
            </w:r>
            <w:r w:rsidR="0000608B">
              <w:rPr>
                <w:rFonts w:ascii="Times New Roman" w:hAnsi="Times New Roman"/>
                <w:sz w:val="24"/>
                <w:szCs w:val="24"/>
                <w:lang w:val="kk-KZ"/>
              </w:rPr>
              <w:t>ОС</w:t>
            </w:r>
            <w:r w:rsidR="00251CCA" w:rsidRPr="00984579">
              <w:rPr>
                <w:rFonts w:ascii="Times New Roman" w:hAnsi="Times New Roman"/>
                <w:sz w:val="24"/>
                <w:szCs w:val="24"/>
              </w:rPr>
              <w:t>. Инвентаризация активов и обязательств. Учет и контроль материальных запасов. Актуальные вопросы учета основных средств и запасов: ошибки, выявленные в ходе проверок и аудита</w:t>
            </w:r>
            <w:r w:rsidRPr="00D74743">
              <w:rPr>
                <w:rFonts w:ascii="Times New Roman" w:eastAsia="MS Mincho" w:hAnsi="Times New Roman"/>
                <w:b/>
                <w:bCs/>
                <w:lang w:val="kk-KZ" w:eastAsia="ja-JP"/>
              </w:rPr>
              <w:t>»</w:t>
            </w:r>
          </w:p>
        </w:tc>
      </w:tr>
      <w:tr w:rsidR="00B001D4" w:rsidRPr="00B001D4" w14:paraId="42DE7CA9" w14:textId="77777777" w:rsidTr="00B001D4">
        <w:tc>
          <w:tcPr>
            <w:tcW w:w="2943" w:type="dxa"/>
          </w:tcPr>
          <w:p w14:paraId="7EC6A2EE" w14:textId="77777777" w:rsidR="00B001D4" w:rsidRPr="00B001D4" w:rsidRDefault="00B001D4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Место и форма оказания услуг</w:t>
            </w:r>
          </w:p>
        </w:tc>
        <w:tc>
          <w:tcPr>
            <w:tcW w:w="7479" w:type="dxa"/>
          </w:tcPr>
          <w:p w14:paraId="25658650" w14:textId="554E0624" w:rsidR="00B001D4" w:rsidRPr="00B001D4" w:rsidRDefault="0046609F" w:rsidP="00B001D4">
            <w:pPr>
              <w:spacing w:after="0"/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 w:rsidRPr="0046609F">
              <w:rPr>
                <w:rFonts w:ascii="Times New Roman" w:eastAsia="MS Mincho" w:hAnsi="Times New Roman"/>
                <w:lang w:val="kk-KZ" w:eastAsia="ja-JP"/>
              </w:rPr>
              <w:t>В Офлайн формате, в течение года, 5 дней, г. Актау</w:t>
            </w:r>
          </w:p>
        </w:tc>
      </w:tr>
      <w:tr w:rsidR="003F603B" w:rsidRPr="00B001D4" w14:paraId="4EBF9BB4" w14:textId="77777777" w:rsidTr="00B001D4">
        <w:tc>
          <w:tcPr>
            <w:tcW w:w="2943" w:type="dxa"/>
          </w:tcPr>
          <w:p w14:paraId="6C6131D0" w14:textId="77777777" w:rsidR="003F603B" w:rsidRPr="00B001D4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7479" w:type="dxa"/>
          </w:tcPr>
          <w:p w14:paraId="67C0F145" w14:textId="28B82FB3" w:rsidR="003F603B" w:rsidRPr="0037664A" w:rsidRDefault="0017097E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17097E">
              <w:rPr>
                <w:rFonts w:ascii="Times New Roman" w:eastAsia="MS Mincho" w:hAnsi="Times New Roman"/>
                <w:lang w:eastAsia="ja-JP"/>
              </w:rPr>
              <w:t xml:space="preserve">1. </w:t>
            </w:r>
            <w:r w:rsidR="003F603B" w:rsidRPr="0037664A">
              <w:rPr>
                <w:rFonts w:ascii="Times New Roman" w:eastAsia="MS Mincho" w:hAnsi="Times New Roman"/>
                <w:lang w:eastAsia="ja-JP"/>
              </w:rPr>
              <w:t xml:space="preserve">Услуга по обучению работников Заказчика в курсах повышения квалификации по </w:t>
            </w:r>
            <w:r w:rsidR="0037664A" w:rsidRPr="0037664A">
              <w:rPr>
                <w:rFonts w:ascii="Times New Roman" w:hAnsi="Times New Roman"/>
                <w:lang w:val="kk-KZ" w:eastAsia="ja-JP"/>
              </w:rPr>
              <w:t>э</w:t>
            </w:r>
            <w:proofErr w:type="spellStart"/>
            <w:r w:rsidR="0037664A" w:rsidRPr="0037664A">
              <w:rPr>
                <w:rFonts w:ascii="Times New Roman" w:hAnsi="Times New Roman"/>
                <w:sz w:val="24"/>
                <w:szCs w:val="24"/>
              </w:rPr>
              <w:t>ффективно</w:t>
            </w:r>
            <w:proofErr w:type="spellEnd"/>
            <w:r w:rsidR="0037664A" w:rsidRPr="0037664A">
              <w:rPr>
                <w:rFonts w:ascii="Times New Roman" w:hAnsi="Times New Roman"/>
                <w:sz w:val="24"/>
                <w:szCs w:val="24"/>
                <w:lang w:val="kk-KZ"/>
              </w:rPr>
              <w:t>му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7664A" w:rsidRPr="0037664A">
              <w:rPr>
                <w:rFonts w:ascii="Times New Roman" w:hAnsi="Times New Roman"/>
                <w:sz w:val="24"/>
                <w:szCs w:val="24"/>
              </w:rPr>
              <w:t>ведени</w:t>
            </w:r>
            <w:proofErr w:type="spellEnd"/>
            <w:r w:rsidR="0037664A" w:rsidRPr="0037664A">
              <w:rPr>
                <w:rFonts w:ascii="Times New Roman" w:hAnsi="Times New Roman"/>
                <w:sz w:val="24"/>
                <w:szCs w:val="24"/>
                <w:lang w:val="kk-KZ"/>
              </w:rPr>
              <w:t>ю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учет</w:t>
            </w:r>
            <w:r w:rsidR="00BB4E6D">
              <w:rPr>
                <w:rFonts w:ascii="Times New Roman" w:hAnsi="Times New Roman"/>
                <w:sz w:val="24"/>
                <w:szCs w:val="24"/>
                <w:lang w:val="kk-KZ"/>
              </w:rPr>
              <w:t>у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основных средств в государственных учреждениях с учетом перехода на МСФО</w:t>
            </w:r>
            <w:r w:rsidR="0000608B">
              <w:rPr>
                <w:rFonts w:ascii="Times New Roman" w:hAnsi="Times New Roman"/>
                <w:sz w:val="24"/>
                <w:szCs w:val="24"/>
                <w:lang w:val="kk-KZ"/>
              </w:rPr>
              <w:t>ОС</w:t>
            </w:r>
            <w:r w:rsidR="003F603B" w:rsidRPr="0037664A">
              <w:rPr>
                <w:rFonts w:ascii="Times New Roman" w:eastAsia="MS Mincho" w:hAnsi="Times New Roman"/>
                <w:lang w:eastAsia="ja-JP"/>
              </w:rPr>
              <w:t xml:space="preserve"> должна включать в себя: </w:t>
            </w:r>
          </w:p>
          <w:p w14:paraId="36B5AB8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Эффективное ведение учета ОС</w:t>
            </w:r>
          </w:p>
          <w:p w14:paraId="72817B4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8" w:anchor="sub_id=2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Первоначальная оценка основных средств (первоначальное признание)</w:t>
              </w:r>
            </w:hyperlink>
          </w:p>
          <w:p w14:paraId="6C62756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9" w:anchor="sub_id=2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Затраты, не включаемые в стоимость основного средства</w:t>
              </w:r>
            </w:hyperlink>
          </w:p>
          <w:p w14:paraId="183FF0E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0" w:anchor="sub_id=2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приобретению основных средств (корреспонденция счетов)</w:t>
              </w:r>
            </w:hyperlink>
          </w:p>
          <w:p w14:paraId="68089B36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1" w:anchor="sub_id=2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первоначальной стоимости основных средств при создании (строительстве) объекта</w:t>
              </w:r>
            </w:hyperlink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14:paraId="2D375EA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2" w:anchor="sub_id=2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созданию объектов основных средств (корреспонденция счетов)</w:t>
              </w:r>
            </w:hyperlink>
          </w:p>
          <w:p w14:paraId="4037060F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3" w:anchor="sub_id=2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первоначальной стоимости основных средств, полученных по договору безвозмездного получения (дарения)</w:t>
              </w:r>
            </w:hyperlink>
          </w:p>
          <w:p w14:paraId="19F03BAD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4" w:anchor="sub_id=2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безвозмездному получению объектов основных средств (корреспонденция счетов)</w:t>
              </w:r>
            </w:hyperlink>
          </w:p>
          <w:p w14:paraId="302E279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5" w:anchor="sub_id=208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Последующая оценка основных средств (оценка основных средств после признания)</w:t>
              </w:r>
            </w:hyperlink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14:paraId="75B20AEB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6" w:anchor="sub_id=209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Обесценение основных средств</w:t>
              </w:r>
            </w:hyperlink>
          </w:p>
          <w:p w14:paraId="4A59E09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7" w:anchor="sub_id=210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Определение возмещаемой суммы</w:t>
              </w:r>
            </w:hyperlink>
          </w:p>
          <w:p w14:paraId="750AE1FD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8" w:anchor="sub_id=21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Амортизация основных средств</w:t>
              </w:r>
            </w:hyperlink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14:paraId="3D8CA9E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9" w:anchor="sub_id=21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Пересмотр срока полезной службы и методов амортизации основных средств</w:t>
              </w:r>
            </w:hyperlink>
          </w:p>
          <w:p w14:paraId="585E306C" w14:textId="77777777" w:rsidR="00662D10" w:rsidRPr="00DC48DB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20" w:anchor="sub_id=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ВЫБЫТИЕ ОСНОВНЫХ СРЕДСТВ</w:t>
              </w:r>
            </w:hyperlink>
          </w:p>
          <w:p w14:paraId="30747999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1" w:anchor="sub_id=3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Корреспонденция счетов, применяемая при различных операциях выбытия основных средств</w:t>
              </w:r>
            </w:hyperlink>
          </w:p>
          <w:p w14:paraId="7F69BEA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2" w:anchor="sub_id=3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Особенности учета земли</w:t>
              </w:r>
            </w:hyperlink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14:paraId="16C4890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3" w:anchor="sub_id=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РЕМОНТ ОСНОВНЫХ СРЕДСТВ</w:t>
              </w:r>
            </w:hyperlink>
          </w:p>
          <w:p w14:paraId="0CC9A26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4" w:anchor="sub_id=4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затрат в основные средства</w:t>
              </w:r>
            </w:hyperlink>
          </w:p>
          <w:p w14:paraId="2E67AFCB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5" w:anchor="sub_id=4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капитальных вложений</w:t>
              </w:r>
            </w:hyperlink>
          </w:p>
          <w:p w14:paraId="5ACFD3F0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6" w:anchor="sub_id=4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относимые к капитальным ремонтам</w:t>
              </w:r>
            </w:hyperlink>
          </w:p>
          <w:p w14:paraId="72028C2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7" w:anchor="sub_id=4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Расходы на комплексные проверки или комплексный ремонт</w:t>
              </w:r>
            </w:hyperlink>
          </w:p>
          <w:p w14:paraId="66C8B36D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8" w:anchor="sub_id=4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расходов некапитального характера</w:t>
              </w:r>
            </w:hyperlink>
          </w:p>
          <w:p w14:paraId="3C983A09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9" w:anchor="sub_id=4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относимых к текущим ремонтам</w:t>
              </w:r>
            </w:hyperlink>
          </w:p>
          <w:p w14:paraId="36F7322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0" w:anchor="sub_id=4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относимых к техническому обслуживанию</w:t>
              </w:r>
            </w:hyperlink>
          </w:p>
          <w:p w14:paraId="444BD590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1" w:anchor="sub_id=408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ремонта арендованных основных средств</w:t>
              </w:r>
            </w:hyperlink>
          </w:p>
          <w:p w14:paraId="2C4CD586" w14:textId="77777777" w:rsidR="00662D10" w:rsidRPr="00A4641B" w:rsidRDefault="00662D10" w:rsidP="00662D10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32" w:anchor="sub_id=409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ИНВЕНТАРИЗАЦИЯ ОСНОВНЫХ ФОНДОВ</w:t>
              </w:r>
            </w:hyperlink>
          </w:p>
          <w:p w14:paraId="1AA831DA" w14:textId="37E81A6E" w:rsidR="00662D10" w:rsidRPr="00662D10" w:rsidRDefault="00662D10" w:rsidP="00662D10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bCs/>
                <w:sz w:val="20"/>
                <w:szCs w:val="20"/>
                <w:shd w:val="clear" w:color="auto" w:fill="FFFFFF"/>
              </w:rPr>
              <w:t>Изменения в       Правилах проведения инвентаризации </w:t>
            </w:r>
            <w:r w:rsidRPr="00662D10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Приказ Министра финансов Республики Казахстан от 24 декабря 2024 года № 863</w:t>
            </w:r>
          </w:p>
          <w:p w14:paraId="418D2634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3" w:anchor="sub_id=410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РАСКРЫТИЕ ИНФОРМАЦИИ В ФИНАНСОВОЙ ОТЧЕТНОСТИ</w:t>
              </w:r>
            </w:hyperlink>
          </w:p>
          <w:p w14:paraId="5EFF6098" w14:textId="77777777" w:rsidR="00662D10" w:rsidRPr="00662D10" w:rsidRDefault="00662D10" w:rsidP="00662D10">
            <w:pPr>
              <w:spacing w:after="0" w:line="240" w:lineRule="auto"/>
              <w:ind w:firstLine="40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0629A0E8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Учет и контроль материальных запасов, ошибки выявленные</w:t>
            </w:r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в ходе проверок и аудит.</w:t>
            </w:r>
          </w:p>
          <w:p w14:paraId="060E9729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Приобретение запасов</w:t>
              </w:r>
            </w:hyperlink>
          </w:p>
          <w:p w14:paraId="78C9C02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</w:t>
              </w:r>
            </w:hyperlink>
          </w:p>
          <w:p w14:paraId="6EDE9F1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Распределение расходов, связанных с приобретением запасов</w:t>
              </w:r>
            </w:hyperlink>
          </w:p>
          <w:p w14:paraId="6D8940D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Приобретение запасов (корреспонденция счетов)</w:t>
              </w:r>
            </w:hyperlink>
          </w:p>
          <w:p w14:paraId="4589671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Системы учета запасов (примеры)</w:t>
              </w:r>
            </w:hyperlink>
          </w:p>
          <w:p w14:paraId="43441E3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Методы оценки запасов</w:t>
              </w:r>
            </w:hyperlink>
          </w:p>
          <w:p w14:paraId="274712E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 Средневзвешенной стоимости</w:t>
              </w:r>
            </w:hyperlink>
          </w:p>
          <w:p w14:paraId="6CADA86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 ФИФО</w:t>
              </w:r>
            </w:hyperlink>
          </w:p>
          <w:p w14:paraId="5D22218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выбытия запасов</w:t>
              </w:r>
            </w:hyperlink>
          </w:p>
          <w:p w14:paraId="016D152F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</w:t>
              </w:r>
            </w:hyperlink>
          </w:p>
          <w:p w14:paraId="50D2571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 на условиях консигнации</w:t>
              </w:r>
            </w:hyperlink>
          </w:p>
          <w:p w14:paraId="3063A48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 (запасы в пути)</w:t>
              </w:r>
            </w:hyperlink>
          </w:p>
          <w:p w14:paraId="79AAF966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Списание запасов на производство</w:t>
              </w:r>
            </w:hyperlink>
          </w:p>
          <w:p w14:paraId="2F2EA6A8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Передача запасов в Уставный капитал других хозяйствующих субъектов</w:t>
              </w:r>
            </w:hyperlink>
          </w:p>
          <w:p w14:paraId="2BBC446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Выбытие запасов в случаях недостачи</w:t>
              </w:r>
            </w:hyperlink>
          </w:p>
          <w:p w14:paraId="70985D2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Прочее выбытие запасов</w:t>
              </w:r>
            </w:hyperlink>
          </w:p>
          <w:p w14:paraId="2039D30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Складской учет запасов и документальное оформление</w:t>
              </w:r>
            </w:hyperlink>
          </w:p>
          <w:p w14:paraId="65612F6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Основные документы по движению запасов на складе</w:t>
              </w:r>
            </w:hyperlink>
          </w:p>
          <w:p w14:paraId="5C651C7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запасов на складах</w:t>
              </w:r>
            </w:hyperlink>
          </w:p>
          <w:p w14:paraId="2E0135E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запасов в бухгалтерии</w:t>
              </w:r>
            </w:hyperlink>
          </w:p>
          <w:p w14:paraId="7F7EB03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Специфика учета отдельных групп запасов</w:t>
              </w:r>
            </w:hyperlink>
          </w:p>
          <w:p w14:paraId="3A3C30F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горюче-смазочных материалов (ГСМ)</w:t>
              </w:r>
            </w:hyperlink>
          </w:p>
          <w:p w14:paraId="3230142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Общие требования по учету ГСМ</w:t>
              </w:r>
            </w:hyperlink>
          </w:p>
          <w:p w14:paraId="798114FF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применения объемно-весового метода учета жидких видов ГСМ</w:t>
              </w:r>
            </w:hyperlink>
          </w:p>
          <w:p w14:paraId="680F60C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поступления ГСМ на склад (место хранения)</w:t>
              </w:r>
            </w:hyperlink>
          </w:p>
          <w:p w14:paraId="310008D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Правила отпуска нефтепродуктов со склада (места хранения) при отгрузке автомобильным транспортом</w:t>
              </w:r>
            </w:hyperlink>
          </w:p>
          <w:p w14:paraId="6960A89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Отпуск нефтепродуктов для прочих производственных нужд</w:t>
              </w:r>
            </w:hyperlink>
          </w:p>
          <w:p w14:paraId="3C30FD2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Правила отпуска нефтепродуктов со склада (места хранения) в подотчет водителям</w:t>
              </w:r>
            </w:hyperlink>
          </w:p>
          <w:p w14:paraId="3E6BA50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Списание нефтепродуктов с подотчета водителей</w:t>
              </w:r>
            </w:hyperlink>
          </w:p>
          <w:p w14:paraId="42A675F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запчастей</w:t>
              </w:r>
            </w:hyperlink>
          </w:p>
          <w:p w14:paraId="0708C46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готовой продукции и товаров</w:t>
              </w:r>
            </w:hyperlink>
          </w:p>
          <w:p w14:paraId="766348F4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Выпуск готовой продукции</w:t>
              </w:r>
            </w:hyperlink>
          </w:p>
          <w:p w14:paraId="59F2B8EB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отгруженной готовой продукции и отгруженных товаров</w:t>
              </w:r>
            </w:hyperlink>
          </w:p>
          <w:p w14:paraId="4FACE80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Последующая оценка стоимости запасов компании. Резерв на ликвидные активы</w:t>
              </w:r>
            </w:hyperlink>
          </w:p>
          <w:p w14:paraId="374D905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Обесценение запасов</w:t>
              </w:r>
            </w:hyperlink>
          </w:p>
          <w:p w14:paraId="35A7E806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чистой цены продажи на дату баланса</w:t>
              </w:r>
            </w:hyperlink>
          </w:p>
          <w:p w14:paraId="057CF66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определения чистой цены продажи для некоторых запасов</w:t>
              </w:r>
            </w:hyperlink>
          </w:p>
          <w:p w14:paraId="2605F7E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 xml:space="preserve">Влияние событий после даты баланса на сумму списания до чистой цены продажи </w:t>
              </w:r>
            </w:hyperlink>
          </w:p>
          <w:p w14:paraId="4E03557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Оценка в последующих периодах</w:t>
              </w:r>
            </w:hyperlink>
          </w:p>
          <w:p w14:paraId="70F3AC0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Резерв на неликвидные запасы на дату баланса</w:t>
              </w:r>
            </w:hyperlink>
          </w:p>
          <w:p w14:paraId="4F1C2A1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Влияние событий после даты баланса на величину резерва</w:t>
              </w:r>
            </w:hyperlink>
          </w:p>
          <w:p w14:paraId="0686A2A0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Инвентаризация запасов</w:t>
              </w:r>
            </w:hyperlink>
          </w:p>
          <w:p w14:paraId="2E28E140" w14:textId="77777777" w:rsidR="004540D9" w:rsidRDefault="00662D10" w:rsidP="00662D10">
            <w:pPr>
              <w:spacing w:after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1" w:history="1">
              <w:r w:rsidRPr="0037664A">
                <w:rPr>
                  <w:rFonts w:ascii="Times New Roman" w:eastAsiaTheme="minorEastAsia" w:hAnsi="Times New Roman"/>
                  <w:sz w:val="20"/>
                  <w:szCs w:val="20"/>
                </w:rPr>
                <w:t>Раскрытие информации в финансовой отчетности</w:t>
              </w:r>
            </w:hyperlink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 </w:t>
            </w:r>
          </w:p>
          <w:p w14:paraId="38445754" w14:textId="77777777" w:rsidR="0037664A" w:rsidRPr="0037664A" w:rsidRDefault="0037664A" w:rsidP="0037664A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37664A">
              <w:rPr>
                <w:rFonts w:ascii="Times New Roman" w:eastAsia="MS Mincho" w:hAnsi="Times New Roman"/>
                <w:lang w:eastAsia="ja-JP"/>
              </w:rPr>
              <w:t>В случае изменения даты обучения Подрядчик обязан уведомить Заказчика не позднее чем за 5 (пять) рабочих дней до ранее запланированной даты обучения. В случае технических неполадок Подрядчик обязан незамедлительно устранить неисправности.</w:t>
            </w:r>
          </w:p>
          <w:p w14:paraId="30D70BE1" w14:textId="77777777" w:rsidR="0037664A" w:rsidRPr="0037664A" w:rsidRDefault="0037664A" w:rsidP="0037664A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37664A">
              <w:rPr>
                <w:rFonts w:ascii="Times New Roman" w:eastAsia="MS Mincho" w:hAnsi="Times New Roman"/>
                <w:lang w:eastAsia="ja-JP"/>
              </w:rPr>
              <w:t>Заказчик имеет право назначить из числа своих сотрудников лицо, ответственное за проверку соответствия предоставляемых услуг требованиям, указанным в технической документации.</w:t>
            </w:r>
          </w:p>
          <w:p w14:paraId="3AA45E3A" w14:textId="44EF92D3" w:rsidR="0037664A" w:rsidRPr="00251CCA" w:rsidRDefault="0037664A" w:rsidP="0037664A">
            <w:pPr>
              <w:spacing w:after="0"/>
              <w:jc w:val="both"/>
              <w:rPr>
                <w:rFonts w:ascii="Times New Roman" w:eastAsia="MS Mincho" w:hAnsi="Times New Roman"/>
                <w:highlight w:val="yellow"/>
                <w:lang w:eastAsia="ja-JP"/>
              </w:rPr>
            </w:pPr>
            <w:r w:rsidRPr="0037664A">
              <w:rPr>
                <w:rFonts w:ascii="Times New Roman" w:eastAsia="MS Mincho" w:hAnsi="Times New Roman"/>
                <w:lang w:eastAsia="ja-JP"/>
              </w:rPr>
              <w:t>По завершении обучения Подрядчик выдает сотрудникам Заказчика сертификаты.</w:t>
            </w:r>
          </w:p>
        </w:tc>
      </w:tr>
      <w:tr w:rsidR="003F603B" w:rsidRPr="00B001D4" w14:paraId="38D00EC5" w14:textId="77777777" w:rsidTr="00B001D4">
        <w:tc>
          <w:tcPr>
            <w:tcW w:w="2943" w:type="dxa"/>
          </w:tcPr>
          <w:p w14:paraId="27C530EB" w14:textId="77777777" w:rsidR="003F603B" w:rsidRPr="00B001D4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lastRenderedPageBreak/>
              <w:t>Количество обучающих работников Заказчика</w:t>
            </w:r>
          </w:p>
        </w:tc>
        <w:tc>
          <w:tcPr>
            <w:tcW w:w="7479" w:type="dxa"/>
          </w:tcPr>
          <w:p w14:paraId="52F269C2" w14:textId="48CAA9C8" w:rsidR="003F603B" w:rsidRPr="00B001D4" w:rsidRDefault="0046609F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>
              <w:rPr>
                <w:rFonts w:ascii="Times New Roman" w:eastAsia="MS Mincho" w:hAnsi="Times New Roman"/>
                <w:lang w:val="kk-KZ" w:eastAsia="ja-JP"/>
              </w:rPr>
              <w:t xml:space="preserve">2 </w:t>
            </w:r>
            <w:r w:rsidR="004540D9" w:rsidRPr="00B001D4">
              <w:rPr>
                <w:rFonts w:ascii="Times New Roman" w:eastAsia="MS Mincho" w:hAnsi="Times New Roman"/>
                <w:lang w:eastAsia="ja-JP"/>
              </w:rPr>
              <w:t>сотрудник</w:t>
            </w:r>
          </w:p>
        </w:tc>
      </w:tr>
      <w:tr w:rsidR="004540D9" w:rsidRPr="00B001D4" w14:paraId="2165334A" w14:textId="77777777" w:rsidTr="00B001D4">
        <w:tc>
          <w:tcPr>
            <w:tcW w:w="2943" w:type="dxa"/>
          </w:tcPr>
          <w:p w14:paraId="20D3667F" w14:textId="77777777"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Условия оплаты </w:t>
            </w:r>
          </w:p>
        </w:tc>
        <w:tc>
          <w:tcPr>
            <w:tcW w:w="7479" w:type="dxa"/>
          </w:tcPr>
          <w:p w14:paraId="690FE230" w14:textId="77777777" w:rsidR="004540D9" w:rsidRPr="00B001D4" w:rsidRDefault="004540D9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B001D4">
              <w:rPr>
                <w:rFonts w:ascii="Times New Roman" w:eastAsia="MS Mincho" w:hAnsi="Times New Roman"/>
                <w:lang w:eastAsia="ja-JP"/>
              </w:rPr>
              <w:t>Оплата производится по факту оказанных услуг в течение 3-х календарных дней со дня подписания акта оказанных услуг</w:t>
            </w:r>
          </w:p>
        </w:tc>
      </w:tr>
      <w:tr w:rsidR="004540D9" w:rsidRPr="00B001D4" w14:paraId="788A03E7" w14:textId="77777777" w:rsidTr="00B001D4">
        <w:tc>
          <w:tcPr>
            <w:tcW w:w="2943" w:type="dxa"/>
          </w:tcPr>
          <w:p w14:paraId="426D6E48" w14:textId="77777777"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Дополнительное требования к Исполнителю </w:t>
            </w:r>
          </w:p>
        </w:tc>
        <w:tc>
          <w:tcPr>
            <w:tcW w:w="7479" w:type="dxa"/>
          </w:tcPr>
          <w:p w14:paraId="7B2C962C" w14:textId="77777777" w:rsidR="004540D9" w:rsidRPr="00B001D4" w:rsidRDefault="004540D9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B001D4">
              <w:rPr>
                <w:rFonts w:ascii="Times New Roman" w:eastAsia="MS Mincho" w:hAnsi="Times New Roman"/>
                <w:lang w:eastAsia="ja-JP"/>
              </w:rPr>
              <w:t>Исполнитель при участии в закупках должен предоставить свидетельство об аккредитации, выданное Комитетом внутреннего государственного аудита при Министерстве финансов РК.</w:t>
            </w:r>
          </w:p>
        </w:tc>
      </w:tr>
    </w:tbl>
    <w:p w14:paraId="61C4A0BD" w14:textId="77777777" w:rsidR="0096395A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p w14:paraId="4F575B2F" w14:textId="77777777" w:rsidR="0096395A" w:rsidRPr="004552FE" w:rsidRDefault="0096395A" w:rsidP="007C3B4E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sectPr w:rsidR="0096395A" w:rsidRPr="004552FE" w:rsidSect="00311022">
      <w:pgSz w:w="11906" w:h="16838"/>
      <w:pgMar w:top="993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5AFA"/>
    <w:multiLevelType w:val="multilevel"/>
    <w:tmpl w:val="DA0C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56B67"/>
    <w:multiLevelType w:val="hybridMultilevel"/>
    <w:tmpl w:val="C7382292"/>
    <w:lvl w:ilvl="0" w:tplc="BBBE1A94">
      <w:start w:val="1"/>
      <w:numFmt w:val="decimal"/>
      <w:lvlText w:val="%1."/>
      <w:lvlJc w:val="left"/>
      <w:pPr>
        <w:ind w:left="7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E365C89"/>
    <w:multiLevelType w:val="hybridMultilevel"/>
    <w:tmpl w:val="09BA7F92"/>
    <w:lvl w:ilvl="0" w:tplc="5FAA6CD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D35F2"/>
    <w:multiLevelType w:val="hybridMultilevel"/>
    <w:tmpl w:val="0CA8E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A3661"/>
    <w:multiLevelType w:val="hybridMultilevel"/>
    <w:tmpl w:val="595A619A"/>
    <w:lvl w:ilvl="0" w:tplc="D3FE35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03B1"/>
    <w:multiLevelType w:val="hybridMultilevel"/>
    <w:tmpl w:val="5DDA0702"/>
    <w:lvl w:ilvl="0" w:tplc="648A9C1C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C3FEE"/>
    <w:multiLevelType w:val="hybridMultilevel"/>
    <w:tmpl w:val="78E0CFA8"/>
    <w:lvl w:ilvl="0" w:tplc="E8BAD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D51C75"/>
    <w:multiLevelType w:val="hybridMultilevel"/>
    <w:tmpl w:val="47CE0FB0"/>
    <w:lvl w:ilvl="0" w:tplc="3E78D4A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D7F80"/>
    <w:multiLevelType w:val="hybridMultilevel"/>
    <w:tmpl w:val="0BA8A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790499">
    <w:abstractNumId w:val="8"/>
  </w:num>
  <w:num w:numId="2" w16cid:durableId="1169324152">
    <w:abstractNumId w:val="1"/>
  </w:num>
  <w:num w:numId="3" w16cid:durableId="1569657309">
    <w:abstractNumId w:val="4"/>
  </w:num>
  <w:num w:numId="4" w16cid:durableId="1976984675">
    <w:abstractNumId w:val="7"/>
  </w:num>
  <w:num w:numId="5" w16cid:durableId="1623610100">
    <w:abstractNumId w:val="5"/>
  </w:num>
  <w:num w:numId="6" w16cid:durableId="386802094">
    <w:abstractNumId w:val="6"/>
  </w:num>
  <w:num w:numId="7" w16cid:durableId="1865244445">
    <w:abstractNumId w:val="0"/>
  </w:num>
  <w:num w:numId="8" w16cid:durableId="318577900">
    <w:abstractNumId w:val="2"/>
  </w:num>
  <w:num w:numId="9" w16cid:durableId="602973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D34"/>
    <w:rsid w:val="000058E6"/>
    <w:rsid w:val="0000608B"/>
    <w:rsid w:val="000075ED"/>
    <w:rsid w:val="000411D8"/>
    <w:rsid w:val="000421EC"/>
    <w:rsid w:val="00046F0C"/>
    <w:rsid w:val="00081BEF"/>
    <w:rsid w:val="000A4898"/>
    <w:rsid w:val="000C042C"/>
    <w:rsid w:val="000C09C3"/>
    <w:rsid w:val="000C4778"/>
    <w:rsid w:val="000D1791"/>
    <w:rsid w:val="000E1F42"/>
    <w:rsid w:val="000F03A7"/>
    <w:rsid w:val="000F1719"/>
    <w:rsid w:val="00100034"/>
    <w:rsid w:val="00111DD1"/>
    <w:rsid w:val="00127B68"/>
    <w:rsid w:val="001662FC"/>
    <w:rsid w:val="0017097E"/>
    <w:rsid w:val="001A015B"/>
    <w:rsid w:val="001A32D8"/>
    <w:rsid w:val="001B5A61"/>
    <w:rsid w:val="001D059B"/>
    <w:rsid w:val="001D26D3"/>
    <w:rsid w:val="001E4E6C"/>
    <w:rsid w:val="001E5ECC"/>
    <w:rsid w:val="001F0E02"/>
    <w:rsid w:val="001F17CF"/>
    <w:rsid w:val="00214A18"/>
    <w:rsid w:val="00243742"/>
    <w:rsid w:val="00245264"/>
    <w:rsid w:val="00251CCA"/>
    <w:rsid w:val="00253150"/>
    <w:rsid w:val="00253824"/>
    <w:rsid w:val="00264C4A"/>
    <w:rsid w:val="00264F25"/>
    <w:rsid w:val="002A1454"/>
    <w:rsid w:val="002A6AF7"/>
    <w:rsid w:val="002A6C96"/>
    <w:rsid w:val="002D7447"/>
    <w:rsid w:val="002E5C89"/>
    <w:rsid w:val="002F5A19"/>
    <w:rsid w:val="002F7B81"/>
    <w:rsid w:val="00304039"/>
    <w:rsid w:val="00311022"/>
    <w:rsid w:val="0032164D"/>
    <w:rsid w:val="00323E2E"/>
    <w:rsid w:val="0034206D"/>
    <w:rsid w:val="00344EC9"/>
    <w:rsid w:val="0035721B"/>
    <w:rsid w:val="00367E2C"/>
    <w:rsid w:val="003744E8"/>
    <w:rsid w:val="0037664A"/>
    <w:rsid w:val="003A68C8"/>
    <w:rsid w:val="003A7CBA"/>
    <w:rsid w:val="003B3971"/>
    <w:rsid w:val="003D4557"/>
    <w:rsid w:val="003E58A6"/>
    <w:rsid w:val="003F0C2B"/>
    <w:rsid w:val="003F603B"/>
    <w:rsid w:val="00400E0C"/>
    <w:rsid w:val="00411E32"/>
    <w:rsid w:val="00412A05"/>
    <w:rsid w:val="00421D49"/>
    <w:rsid w:val="0042353B"/>
    <w:rsid w:val="00432553"/>
    <w:rsid w:val="004368C5"/>
    <w:rsid w:val="00440A1C"/>
    <w:rsid w:val="004440F1"/>
    <w:rsid w:val="00451F6E"/>
    <w:rsid w:val="004540D9"/>
    <w:rsid w:val="004552FE"/>
    <w:rsid w:val="00455F26"/>
    <w:rsid w:val="004610EA"/>
    <w:rsid w:val="00461FE5"/>
    <w:rsid w:val="0046609F"/>
    <w:rsid w:val="00483225"/>
    <w:rsid w:val="00485A6A"/>
    <w:rsid w:val="00487715"/>
    <w:rsid w:val="004A51FA"/>
    <w:rsid w:val="004B21B5"/>
    <w:rsid w:val="004C1842"/>
    <w:rsid w:val="004D16EE"/>
    <w:rsid w:val="004D2C3F"/>
    <w:rsid w:val="004D451F"/>
    <w:rsid w:val="004D537F"/>
    <w:rsid w:val="004D53A6"/>
    <w:rsid w:val="004E742E"/>
    <w:rsid w:val="004F2D32"/>
    <w:rsid w:val="004F4F0D"/>
    <w:rsid w:val="004F60EA"/>
    <w:rsid w:val="005047EF"/>
    <w:rsid w:val="0051576D"/>
    <w:rsid w:val="00515CBF"/>
    <w:rsid w:val="005321A6"/>
    <w:rsid w:val="00537D34"/>
    <w:rsid w:val="005634B2"/>
    <w:rsid w:val="00564136"/>
    <w:rsid w:val="00596988"/>
    <w:rsid w:val="005A053B"/>
    <w:rsid w:val="005C683E"/>
    <w:rsid w:val="005D5E30"/>
    <w:rsid w:val="005E5416"/>
    <w:rsid w:val="00611DEA"/>
    <w:rsid w:val="0061774F"/>
    <w:rsid w:val="0062615D"/>
    <w:rsid w:val="00650256"/>
    <w:rsid w:val="00662D10"/>
    <w:rsid w:val="0068133D"/>
    <w:rsid w:val="00693935"/>
    <w:rsid w:val="006B4101"/>
    <w:rsid w:val="006B5F68"/>
    <w:rsid w:val="006C60F9"/>
    <w:rsid w:val="006F5170"/>
    <w:rsid w:val="006F5361"/>
    <w:rsid w:val="00706B97"/>
    <w:rsid w:val="00707E3E"/>
    <w:rsid w:val="007507E0"/>
    <w:rsid w:val="00752BF0"/>
    <w:rsid w:val="007533AF"/>
    <w:rsid w:val="0076276A"/>
    <w:rsid w:val="007664B2"/>
    <w:rsid w:val="00776771"/>
    <w:rsid w:val="0077706C"/>
    <w:rsid w:val="007803B7"/>
    <w:rsid w:val="00794A2C"/>
    <w:rsid w:val="007A19EF"/>
    <w:rsid w:val="007C3B4E"/>
    <w:rsid w:val="007C4057"/>
    <w:rsid w:val="007C7DCD"/>
    <w:rsid w:val="007D5907"/>
    <w:rsid w:val="008062EE"/>
    <w:rsid w:val="008418DC"/>
    <w:rsid w:val="008549FA"/>
    <w:rsid w:val="00867E11"/>
    <w:rsid w:val="00872EA7"/>
    <w:rsid w:val="00895B36"/>
    <w:rsid w:val="00897C84"/>
    <w:rsid w:val="008B7D14"/>
    <w:rsid w:val="008C0605"/>
    <w:rsid w:val="008C79DA"/>
    <w:rsid w:val="008D0A77"/>
    <w:rsid w:val="008E1724"/>
    <w:rsid w:val="008E22DF"/>
    <w:rsid w:val="008F0833"/>
    <w:rsid w:val="008F4A74"/>
    <w:rsid w:val="00904931"/>
    <w:rsid w:val="00916D10"/>
    <w:rsid w:val="00921611"/>
    <w:rsid w:val="00927769"/>
    <w:rsid w:val="00946EF1"/>
    <w:rsid w:val="00963534"/>
    <w:rsid w:val="0096395A"/>
    <w:rsid w:val="0096695C"/>
    <w:rsid w:val="00985DFD"/>
    <w:rsid w:val="00987EC4"/>
    <w:rsid w:val="009A064C"/>
    <w:rsid w:val="009B27A8"/>
    <w:rsid w:val="009D1076"/>
    <w:rsid w:val="009D3EF6"/>
    <w:rsid w:val="00A05E40"/>
    <w:rsid w:val="00A11CBB"/>
    <w:rsid w:val="00A15B46"/>
    <w:rsid w:val="00A249CE"/>
    <w:rsid w:val="00A2626E"/>
    <w:rsid w:val="00A2695B"/>
    <w:rsid w:val="00A27252"/>
    <w:rsid w:val="00A3467C"/>
    <w:rsid w:val="00A37B93"/>
    <w:rsid w:val="00A4641B"/>
    <w:rsid w:val="00A509E3"/>
    <w:rsid w:val="00A52292"/>
    <w:rsid w:val="00A65D5F"/>
    <w:rsid w:val="00A84F85"/>
    <w:rsid w:val="00A96597"/>
    <w:rsid w:val="00AA0529"/>
    <w:rsid w:val="00AB610A"/>
    <w:rsid w:val="00AC5511"/>
    <w:rsid w:val="00AE25C0"/>
    <w:rsid w:val="00AF4AEB"/>
    <w:rsid w:val="00B001D4"/>
    <w:rsid w:val="00B1194E"/>
    <w:rsid w:val="00B43E2D"/>
    <w:rsid w:val="00B5448A"/>
    <w:rsid w:val="00B56154"/>
    <w:rsid w:val="00B83F7C"/>
    <w:rsid w:val="00B93219"/>
    <w:rsid w:val="00B933F0"/>
    <w:rsid w:val="00BB4E6D"/>
    <w:rsid w:val="00BC2D06"/>
    <w:rsid w:val="00BE1D22"/>
    <w:rsid w:val="00BE6BE6"/>
    <w:rsid w:val="00BE7020"/>
    <w:rsid w:val="00C21BE7"/>
    <w:rsid w:val="00C23535"/>
    <w:rsid w:val="00C54360"/>
    <w:rsid w:val="00C55CA0"/>
    <w:rsid w:val="00C861E0"/>
    <w:rsid w:val="00C94CAF"/>
    <w:rsid w:val="00C95E3E"/>
    <w:rsid w:val="00CC3A5B"/>
    <w:rsid w:val="00CC4511"/>
    <w:rsid w:val="00CC7F62"/>
    <w:rsid w:val="00CE6983"/>
    <w:rsid w:val="00D00BBD"/>
    <w:rsid w:val="00D21566"/>
    <w:rsid w:val="00D221C6"/>
    <w:rsid w:val="00D25358"/>
    <w:rsid w:val="00D409EF"/>
    <w:rsid w:val="00D74743"/>
    <w:rsid w:val="00DA3ADF"/>
    <w:rsid w:val="00DC2568"/>
    <w:rsid w:val="00DC48DB"/>
    <w:rsid w:val="00DC7CA1"/>
    <w:rsid w:val="00DF7BD2"/>
    <w:rsid w:val="00E00490"/>
    <w:rsid w:val="00E10DB7"/>
    <w:rsid w:val="00E25E6A"/>
    <w:rsid w:val="00E27993"/>
    <w:rsid w:val="00E40199"/>
    <w:rsid w:val="00E732B4"/>
    <w:rsid w:val="00E94C81"/>
    <w:rsid w:val="00EA7951"/>
    <w:rsid w:val="00EB0B58"/>
    <w:rsid w:val="00EB5F19"/>
    <w:rsid w:val="00EC0D20"/>
    <w:rsid w:val="00ED270D"/>
    <w:rsid w:val="00EF1FC6"/>
    <w:rsid w:val="00F2085F"/>
    <w:rsid w:val="00F302B9"/>
    <w:rsid w:val="00F65D03"/>
    <w:rsid w:val="00F757D9"/>
    <w:rsid w:val="00F853E3"/>
    <w:rsid w:val="00F97F7B"/>
    <w:rsid w:val="00FA7F17"/>
    <w:rsid w:val="00FC111A"/>
    <w:rsid w:val="00FC5933"/>
    <w:rsid w:val="00FC7BB3"/>
    <w:rsid w:val="00FD2B06"/>
    <w:rsid w:val="00FD2FEB"/>
    <w:rsid w:val="00FD640A"/>
    <w:rsid w:val="00FD7114"/>
    <w:rsid w:val="00FE2089"/>
    <w:rsid w:val="00FE6EF2"/>
    <w:rsid w:val="00FF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558D7"/>
  <w15:chartTrackingRefBased/>
  <w15:docId w15:val="{B972A433-7425-4649-A4A0-0A670C27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D34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37D3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7D34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537D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022"/>
    <w:pPr>
      <w:ind w:left="720"/>
      <w:contextualSpacing/>
    </w:pPr>
    <w:rPr>
      <w:rFonts w:eastAsia="Calibri"/>
      <w:lang w:eastAsia="en-US"/>
    </w:rPr>
  </w:style>
  <w:style w:type="table" w:styleId="a7">
    <w:name w:val="Table Grid"/>
    <w:basedOn w:val="a1"/>
    <w:uiPriority w:val="59"/>
    <w:rsid w:val="000058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aliases w:val="No Spacing,мой рабочий,норма,No Spacing1,свой,14 TNR,МОЙ СТИЛЬ,Без интервала11,Елжан,Без интеБез интервала,Алия,ТекстОтчета,без интервала,исполнитель,No Spacing11,Без интервала111,Без интерваль,Clips Body"/>
    <w:link w:val="a9"/>
    <w:uiPriority w:val="1"/>
    <w:qFormat/>
    <w:rsid w:val="00963534"/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F53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F5361"/>
    <w:rPr>
      <w:rFonts w:ascii="Courier New" w:eastAsia="Times New Roman" w:hAnsi="Courier New" w:cs="Courier New"/>
    </w:rPr>
  </w:style>
  <w:style w:type="character" w:customStyle="1" w:styleId="y2iqfc">
    <w:name w:val="y2iqfc"/>
    <w:rsid w:val="006F5361"/>
  </w:style>
  <w:style w:type="character" w:customStyle="1" w:styleId="a9">
    <w:name w:val="Без интервала Знак"/>
    <w:aliases w:val="No Spacing Знак,мой рабочий Знак,норма Знак,No Spacing1 Знак,свой Знак,14 TNR Знак,МОЙ СТИЛЬ Знак,Без интервала11 Знак,Елжан Знак,Без интеБез интервала Знак,Алия Знак,ТекстОтчета Знак,без интервала Знак,исполнитель Знак"/>
    <w:link w:val="a8"/>
    <w:uiPriority w:val="1"/>
    <w:locked/>
    <w:rsid w:val="00A15B4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.zakon.kz/Document/?doc_id=39539342" TargetMode="External"/><Relationship Id="rId13" Type="http://schemas.openxmlformats.org/officeDocument/2006/relationships/hyperlink" Target="http://online.zakon.kz/Document/?doc_id=39539342" TargetMode="External"/><Relationship Id="rId18" Type="http://schemas.openxmlformats.org/officeDocument/2006/relationships/hyperlink" Target="http://online.zakon.kz/Document/?doc_id=39539342" TargetMode="External"/><Relationship Id="rId26" Type="http://schemas.openxmlformats.org/officeDocument/2006/relationships/hyperlink" Target="http://online.zakon.kz/Document/?doc_id=39539342" TargetMode="External"/><Relationship Id="rId3" Type="http://schemas.openxmlformats.org/officeDocument/2006/relationships/styles" Target="styles.xml"/><Relationship Id="rId21" Type="http://schemas.openxmlformats.org/officeDocument/2006/relationships/hyperlink" Target="http://online.zakon.kz/Document/?doc_id=39539342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online.zakon.kz/Document/?doc_id=39539342" TargetMode="External"/><Relationship Id="rId12" Type="http://schemas.openxmlformats.org/officeDocument/2006/relationships/hyperlink" Target="http://online.zakon.kz/Document/?doc_id=39539342" TargetMode="External"/><Relationship Id="rId17" Type="http://schemas.openxmlformats.org/officeDocument/2006/relationships/hyperlink" Target="http://online.zakon.kz/Document/?doc_id=39539342" TargetMode="External"/><Relationship Id="rId25" Type="http://schemas.openxmlformats.org/officeDocument/2006/relationships/hyperlink" Target="http://online.zakon.kz/Document/?doc_id=39539342" TargetMode="External"/><Relationship Id="rId33" Type="http://schemas.openxmlformats.org/officeDocument/2006/relationships/hyperlink" Target="http://online.zakon.kz/Document/?doc_id=395393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nline.zakon.kz/Document/?doc_id=39539342" TargetMode="External"/><Relationship Id="rId20" Type="http://schemas.openxmlformats.org/officeDocument/2006/relationships/hyperlink" Target="http://online.zakon.kz/Document/?doc_id=39539342" TargetMode="External"/><Relationship Id="rId29" Type="http://schemas.openxmlformats.org/officeDocument/2006/relationships/hyperlink" Target="http://online.zakon.kz/Document/?doc_id=3953934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online.zakon.kz/Document/?doc_id=39539342" TargetMode="External"/><Relationship Id="rId11" Type="http://schemas.openxmlformats.org/officeDocument/2006/relationships/hyperlink" Target="http://online.zakon.kz/Document/?doc_id=39539342" TargetMode="External"/><Relationship Id="rId24" Type="http://schemas.openxmlformats.org/officeDocument/2006/relationships/hyperlink" Target="http://online.zakon.kz/Document/?doc_id=39539342" TargetMode="External"/><Relationship Id="rId32" Type="http://schemas.openxmlformats.org/officeDocument/2006/relationships/hyperlink" Target="http://online.zakon.kz/Document/?doc_id=395393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nline.zakon.kz/Document/?doc_id=39539342" TargetMode="External"/><Relationship Id="rId23" Type="http://schemas.openxmlformats.org/officeDocument/2006/relationships/hyperlink" Target="http://online.zakon.kz/Document/?doc_id=39539342" TargetMode="External"/><Relationship Id="rId28" Type="http://schemas.openxmlformats.org/officeDocument/2006/relationships/hyperlink" Target="http://online.zakon.kz/Document/?doc_id=39539342" TargetMode="External"/><Relationship Id="rId10" Type="http://schemas.openxmlformats.org/officeDocument/2006/relationships/hyperlink" Target="http://online.zakon.kz/Document/?doc_id=39539342" TargetMode="External"/><Relationship Id="rId19" Type="http://schemas.openxmlformats.org/officeDocument/2006/relationships/hyperlink" Target="http://online.zakon.kz/Document/?doc_id=39539342" TargetMode="External"/><Relationship Id="rId31" Type="http://schemas.openxmlformats.org/officeDocument/2006/relationships/hyperlink" Target="http://online.zakon.kz/Document/?doc_id=395393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nline.zakon.kz/Document/?doc_id=39539342" TargetMode="External"/><Relationship Id="rId14" Type="http://schemas.openxmlformats.org/officeDocument/2006/relationships/hyperlink" Target="http://online.zakon.kz/Document/?doc_id=39539342" TargetMode="External"/><Relationship Id="rId22" Type="http://schemas.openxmlformats.org/officeDocument/2006/relationships/hyperlink" Target="http://online.zakon.kz/Document/?doc_id=39539342" TargetMode="External"/><Relationship Id="rId27" Type="http://schemas.openxmlformats.org/officeDocument/2006/relationships/hyperlink" Target="http://online.zakon.kz/Document/?doc_id=39539342" TargetMode="External"/><Relationship Id="rId30" Type="http://schemas.openxmlformats.org/officeDocument/2006/relationships/hyperlink" Target="http://online.zakon.kz/Document/?doc_id=39539342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A8CB8-E2AD-4806-8CF8-F69CB5D6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2134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cp:lastPrinted>2016-08-15T10:32:00Z</cp:lastPrinted>
  <dcterms:created xsi:type="dcterms:W3CDTF">2026-06-29T12:11:00Z</dcterms:created>
  <dcterms:modified xsi:type="dcterms:W3CDTF">2026-08-07T07:31:00Z</dcterms:modified>
</cp:coreProperties>
</file>