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document.xml.rels" ContentType="application/vnd.openxmlformats-package.relationships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end"/>
        <w:rPr>
          <w:color w:val="auto"/>
          <w:lang w:val="kk-KZ" w:eastAsia="zh-CN" w:bidi="ar-SA"/>
        </w:rPr>
      </w:pPr>
      <w:r>
        <w:rPr>
          <w:rFonts w:cs="Times New Roman"/>
          <w:i/>
          <w:color w:val="auto"/>
          <w:sz w:val="24"/>
          <w:szCs w:val="24"/>
          <w:lang w:val="kk-KZ" w:eastAsia="zh-CN" w:bidi="ar-SA"/>
        </w:rPr>
        <w:t>202</w:t>
      </w:r>
      <w:r>
        <w:rPr>
          <w:rFonts w:cs="Times New Roman"/>
          <w:i/>
          <w:color w:val="auto"/>
          <w:sz w:val="24"/>
          <w:szCs w:val="24"/>
          <w:lang w:val="kk-KZ" w:eastAsia="zh-CN" w:bidi="ar-SA"/>
        </w:rPr>
        <w:t xml:space="preserve">6 </w:t>
      </w:r>
      <w:r>
        <w:rPr>
          <w:rFonts w:cs="Times New Roman"/>
          <w:i/>
          <w:color w:val="auto"/>
          <w:sz w:val="24"/>
          <w:szCs w:val="24"/>
          <w:lang w:val="kk-KZ" w:eastAsia="zh-CN" w:bidi="ar-SA"/>
        </w:rPr>
        <w:t>ж. «___» _______________</w:t>
      </w:r>
      <w:r>
        <w:rPr>
          <w:rFonts w:cs="Times New Roman"/>
          <w:i/>
          <w:color w:val="auto"/>
          <w:sz w:val="24"/>
          <w:szCs w:val="24"/>
          <w:lang w:val="kk-KZ" w:eastAsia="zh-CN" w:bidi="ar-SA"/>
        </w:rPr>
        <w:t>№</w:t>
      </w:r>
    </w:p>
    <w:p>
      <w:pPr>
        <w:pStyle w:val="Normal"/>
        <w:jc w:val="end"/>
        <w:rPr>
          <w:color w:val="auto"/>
          <w:lang w:val="kk-KZ" w:eastAsia="zh-CN" w:bidi="ar-SA"/>
        </w:rPr>
      </w:pPr>
      <w:r>
        <w:rPr>
          <w:rFonts w:cs="Times New Roman"/>
          <w:i/>
          <w:color w:val="auto"/>
          <w:sz w:val="24"/>
          <w:szCs w:val="24"/>
          <w:lang w:val="kk-KZ" w:eastAsia="zh-CN" w:bidi="ar-SA"/>
        </w:rPr>
        <w:t>Шартқа 2 қосымша</w:t>
      </w:r>
    </w:p>
    <w:p>
      <w:pPr>
        <w:pStyle w:val="Normal"/>
        <w:jc w:val="center"/>
        <w:rPr>
          <w:rFonts w:ascii="Times New Roman" w:hAnsi="Times New Roman" w:cs="Times New Roman"/>
          <w:i/>
          <w:i/>
          <w:color w:val="auto"/>
          <w:sz w:val="24"/>
          <w:szCs w:val="24"/>
          <w:lang w:val="kk-KZ" w:eastAsia="zh-CN" w:bidi="ar-SA"/>
        </w:rPr>
      </w:pPr>
      <w:r>
        <w:rPr>
          <w:rFonts w:cs="Times New Roman"/>
          <w:i/>
          <w:color w:val="auto"/>
          <w:sz w:val="24"/>
          <w:szCs w:val="24"/>
          <w:lang w:val="kk-KZ" w:eastAsia="zh-CN" w:bidi="ar-SA"/>
        </w:rPr>
      </w:r>
    </w:p>
    <w:p>
      <w:pPr>
        <w:pStyle w:val="Normal"/>
        <w:ind w:firstLine="400" w:end="0"/>
        <w:jc w:val="center"/>
        <w:rPr>
          <w:color w:val="auto"/>
          <w:lang w:val="kk-KZ" w:eastAsia="zh-CN" w:bidi="ar-SA"/>
        </w:rPr>
      </w:pPr>
      <w:r>
        <w:rPr>
          <w:rFonts w:cs="Times New Roman"/>
          <w:b/>
          <w:color w:val="000000"/>
          <w:sz w:val="24"/>
          <w:szCs w:val="24"/>
          <w:shd w:fill="FFFFFF" w:val="clear"/>
          <w:lang w:val="kk-KZ" w:eastAsia="zh-CN" w:bidi="ar-SA"/>
        </w:rPr>
        <w:t>Көрсетілген қызметтердің техникалық ерекшелігі</w:t>
      </w:r>
    </w:p>
    <w:p>
      <w:pPr>
        <w:pStyle w:val="Normal"/>
        <w:widowControl/>
        <w:suppressAutoHyphens w:val="true"/>
        <w:bidi w:val="0"/>
        <w:spacing w:before="0" w:after="0"/>
        <w:ind w:hanging="0" w:start="0" w:end="0"/>
        <w:jc w:val="center"/>
        <w:rPr>
          <w:rFonts w:ascii="Times New Roman" w:hAnsi="Times New Roman" w:cs="Times New Roman"/>
          <w:b/>
          <w:color w:val="auto"/>
          <w:sz w:val="24"/>
          <w:szCs w:val="24"/>
          <w:shd w:fill="FFFFFF" w:val="clear"/>
          <w:lang w:val="kk-KZ" w:eastAsia="zh-CN" w:bidi="ar-SA"/>
        </w:rPr>
      </w:pPr>
      <w:r>
        <w:rPr>
          <w:rFonts w:cs="Times New Roman"/>
          <w:b/>
          <w:color w:val="000000"/>
          <w:sz w:val="24"/>
          <w:szCs w:val="24"/>
          <w:shd w:fill="FFFFFF" w:val="clear"/>
          <w:lang w:val="kk-KZ" w:eastAsia="zh-CN" w:bidi="ar-SA"/>
        </w:rPr>
      </w:r>
    </w:p>
    <w:tbl>
      <w:tblPr>
        <w:tblW w:w="15026" w:type="dxa"/>
        <w:jc w:val="start"/>
        <w:tblInd w:w="-34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66"/>
        <w:gridCol w:w="2416"/>
        <w:gridCol w:w="8642"/>
        <w:gridCol w:w="3401"/>
      </w:tblGrid>
      <w:tr>
        <w:trPr>
          <w:trHeight w:val="333" w:hRule="atLeast"/>
        </w:trPr>
        <w:tc>
          <w:tcPr>
            <w:tcW w:w="56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auto"/>
                <w:lang w:val="kk-KZ" w:eastAsia="zh-CN" w:bidi="ar-SA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kk-KZ" w:eastAsia="zh-CN" w:bidi="ar-SA"/>
              </w:rPr>
              <w:t>№</w:t>
            </w:r>
            <w:r>
              <w:rPr>
                <w:rFonts w:eastAsia="Times New Roman" w:cs="Times New Roman"/>
                <w:b/>
                <w:bCs/>
                <w:color w:val="auto"/>
                <w:sz w:val="24"/>
                <w:szCs w:val="24"/>
                <w:lang w:val="kk-KZ" w:eastAsia="zh-CN" w:bidi="ar-SA"/>
              </w:rPr>
              <w:t xml:space="preserve"> </w:t>
            </w: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kk-KZ" w:eastAsia="zh-CN" w:bidi="ar-SA"/>
              </w:rPr>
              <w:t>р/с</w:t>
            </w:r>
          </w:p>
        </w:tc>
        <w:tc>
          <w:tcPr>
            <w:tcW w:w="241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auto"/>
                <w:lang w:val="kk-KZ" w:eastAsia="zh-CN" w:bidi="ar-SA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kk-KZ" w:eastAsia="zh-CN" w:bidi="ar-SA"/>
              </w:rPr>
              <w:t>Қызметтердің атауы</w:t>
            </w:r>
          </w:p>
        </w:tc>
        <w:tc>
          <w:tcPr>
            <w:tcW w:w="864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auto"/>
                <w:lang w:val="kk-KZ" w:eastAsia="zh-CN" w:bidi="ar-SA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kk-KZ" w:eastAsia="zh-CN" w:bidi="ar-SA"/>
              </w:rPr>
              <w:t>Техникалық ерекшеліктері, сипаттамасы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auto"/>
                <w:lang w:val="kk-KZ" w:eastAsia="zh-CN" w:bidi="ar-SA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kk-KZ" w:eastAsia="zh-CN" w:bidi="ar-SA"/>
              </w:rPr>
              <w:t>Қызметтердің көрсету орны</w:t>
            </w:r>
          </w:p>
        </w:tc>
      </w:tr>
      <w:tr>
        <w:trPr>
          <w:trHeight w:val="155" w:hRule="atLeast"/>
        </w:trPr>
        <w:tc>
          <w:tcPr>
            <w:tcW w:w="56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color w:val="auto"/>
                <w:lang w:val="kk-KZ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kk-KZ" w:eastAsia="zh-CN" w:bidi="ar-SA"/>
              </w:rPr>
              <w:t>1</w:t>
            </w:r>
          </w:p>
        </w:tc>
        <w:tc>
          <w:tcPr>
            <w:tcW w:w="2416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color w:val="auto"/>
                <w:lang w:val="kk-KZ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kk-KZ" w:eastAsia="zh-CN" w:bidi="ar-SA"/>
              </w:rPr>
              <w:t>2</w:t>
            </w:r>
          </w:p>
        </w:tc>
        <w:tc>
          <w:tcPr>
            <w:tcW w:w="864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color w:val="auto"/>
                <w:lang w:val="kk-KZ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kk-KZ" w:eastAsia="zh-CN" w:bidi="ar-SA"/>
              </w:rPr>
              <w:t>3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color w:val="auto"/>
                <w:lang w:val="kk-KZ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kk-KZ" w:eastAsia="zh-CN" w:bidi="ar-SA"/>
              </w:rPr>
              <w:t>4</w:t>
            </w:r>
          </w:p>
        </w:tc>
      </w:tr>
      <w:tr>
        <w:trPr>
          <w:trHeight w:val="1142" w:hRule="atLeast"/>
        </w:trPr>
        <w:tc>
          <w:tcPr>
            <w:tcW w:w="566" w:type="dxa"/>
            <w:tcBorders>
              <w:top w:val="single" w:sz="6" w:space="0" w:color="000000"/>
              <w:start w:val="single" w:sz="6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>
                <w:rFonts w:ascii="Times New Roman" w:hAnsi="Times New Roman" w:cs="Times New Roman"/>
                <w:color w:val="auto"/>
                <w:sz w:val="24"/>
                <w:szCs w:val="24"/>
                <w:lang w:val="kk-KZ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kk-KZ" w:eastAsia="zh-CN" w:bidi="ar-SA"/>
              </w:rPr>
            </w:r>
          </w:p>
        </w:tc>
        <w:tc>
          <w:tcPr>
            <w:tcW w:w="2416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color w:val="auto"/>
                <w:lang w:val="kk-KZ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kk-KZ" w:eastAsia="zh-CN" w:bidi="ar-SA"/>
              </w:rPr>
              <w:t>Қауіпті емес қалдықтарды/мүліктерді/материалдарды шығару (жинау) бойынша қызметтер</w:t>
            </w:r>
          </w:p>
        </w:tc>
        <w:tc>
          <w:tcPr>
            <w:tcW w:w="8642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color w:val="auto"/>
                <w:lang w:val="kk-KZ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kk-KZ" w:eastAsia="zh-CN" w:bidi="ar-SA"/>
              </w:rPr>
              <w:t>Жүк көлігін шақыру. Тұрмыстық қалдықтарды шығару үшін. Тиегішпен. Шанақтың сыйымдылығы</w:t>
            </w: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 xml:space="preserve"> –</w:t>
            </w:r>
            <w:r>
              <w:rPr>
                <w:rFonts w:cs="Times New Roman"/>
                <w:color w:val="auto"/>
                <w:sz w:val="24"/>
                <w:szCs w:val="24"/>
                <w:lang w:val="kk-KZ" w:eastAsia="zh-CN" w:bidi="ar-SA"/>
              </w:rPr>
              <w:t xml:space="preserve"> кемінде 20 м. шаршы метр.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HTML1"/>
              <w:rPr>
                <w:color w:val="auto"/>
                <w:lang w:val="kk-KZ" w:eastAsia="zh-CN" w:bidi="ar-SA"/>
              </w:rPr>
            </w:pPr>
            <w:r>
              <w:rPr>
                <w:rFonts w:cs="Times New Roman" w:ascii="Times New Roman" w:hAnsi="Times New Roman"/>
                <w:color w:val="auto"/>
                <w:sz w:val="24"/>
                <w:szCs w:val="24"/>
                <w:lang w:val="kk-KZ" w:eastAsia="zh-CN" w:bidi="ar-SA"/>
              </w:rPr>
              <w:t>Қостанай облысы Рудный қ, парк к-сі, 45</w:t>
            </w:r>
          </w:p>
        </w:tc>
      </w:tr>
    </w:tbl>
    <w:p>
      <w:pPr>
        <w:pStyle w:val="Normal"/>
        <w:jc w:val="end"/>
        <w:rPr>
          <w:rFonts w:ascii="Times New Roman" w:hAnsi="Times New Roman" w:cs="Times New Roman"/>
          <w:i/>
          <w:i/>
          <w:color w:val="auto"/>
          <w:sz w:val="24"/>
          <w:szCs w:val="24"/>
          <w:lang w:val="kk-KZ" w:eastAsia="zh-CN" w:bidi="ar-SA"/>
        </w:rPr>
      </w:pPr>
      <w:r>
        <w:rPr>
          <w:rFonts w:cs="Times New Roman"/>
          <w:i/>
          <w:color w:val="auto"/>
          <w:sz w:val="24"/>
          <w:szCs w:val="24"/>
          <w:lang w:val="kk-KZ" w:eastAsia="zh-CN" w:bidi="ar-SA"/>
        </w:rPr>
      </w:r>
      <w:r>
        <w:br w:type="page"/>
      </w:r>
    </w:p>
    <w:p>
      <w:pPr>
        <w:pStyle w:val="Normal"/>
        <w:spacing w:before="0" w:after="0"/>
        <w:jc w:val="end"/>
        <w:rPr>
          <w:color w:val="auto"/>
          <w:lang w:val="ru-RU" w:eastAsia="zh-CN" w:bidi="ar-SA"/>
        </w:rPr>
      </w:pPr>
      <w:r>
        <w:rPr>
          <w:rFonts w:cs="Times New Roman"/>
          <w:i/>
          <w:color w:val="auto"/>
          <w:sz w:val="24"/>
          <w:szCs w:val="24"/>
          <w:lang w:val="ru-RU" w:eastAsia="zh-CN" w:bidi="ar-SA"/>
        </w:rPr>
        <w:t>Приложение 2 к Договору</w:t>
      </w:r>
    </w:p>
    <w:p>
      <w:pPr>
        <w:pStyle w:val="Normal"/>
        <w:jc w:val="end"/>
        <w:rPr>
          <w:color w:val="auto"/>
          <w:lang w:val="ru-RU" w:eastAsia="zh-CN" w:bidi="ar-SA"/>
        </w:rPr>
      </w:pPr>
      <w:r>
        <w:rPr>
          <w:rFonts w:cs="Times New Roman"/>
          <w:i/>
          <w:color w:val="auto"/>
          <w:sz w:val="24"/>
          <w:szCs w:val="24"/>
          <w:lang w:val="ru-RU" w:eastAsia="zh-CN" w:bidi="ar-SA"/>
        </w:rPr>
        <w:t>от «___» _______ 202</w:t>
      </w:r>
      <w:r>
        <w:rPr>
          <w:rFonts w:cs="Times New Roman"/>
          <w:i/>
          <w:color w:val="auto"/>
          <w:sz w:val="24"/>
          <w:szCs w:val="24"/>
          <w:lang w:val="ru-RU" w:eastAsia="zh-CN" w:bidi="ar-SA"/>
        </w:rPr>
        <w:t>6</w:t>
      </w:r>
      <w:r>
        <w:rPr>
          <w:rFonts w:cs="Times New Roman"/>
          <w:i/>
          <w:color w:val="auto"/>
          <w:sz w:val="24"/>
          <w:szCs w:val="24"/>
          <w:lang w:val="ru-RU" w:eastAsia="zh-CN" w:bidi="ar-SA"/>
        </w:rPr>
        <w:t xml:space="preserve"> года №</w:t>
      </w:r>
    </w:p>
    <w:p>
      <w:pPr>
        <w:pStyle w:val="Normal"/>
        <w:jc w:val="center"/>
        <w:rPr>
          <w:rFonts w:ascii="Times New Roman" w:hAnsi="Times New Roman" w:cs="Times New Roman"/>
          <w:b/>
          <w:i/>
          <w:i/>
          <w:color w:val="auto"/>
          <w:sz w:val="24"/>
          <w:szCs w:val="24"/>
          <w:lang w:val="ru-RU" w:eastAsia="zh-CN" w:bidi="ar-SA"/>
        </w:rPr>
      </w:pPr>
      <w:r>
        <w:rPr>
          <w:rFonts w:cs="Times New Roman"/>
          <w:b/>
          <w:i/>
          <w:color w:val="auto"/>
          <w:sz w:val="24"/>
          <w:szCs w:val="24"/>
          <w:lang w:val="ru-RU" w:eastAsia="zh-CN" w:bidi="ar-SA"/>
        </w:rPr>
      </w:r>
    </w:p>
    <w:p>
      <w:pPr>
        <w:pStyle w:val="Normal"/>
        <w:jc w:val="center"/>
        <w:rPr>
          <w:color w:val="auto"/>
          <w:lang w:val="ru-RU" w:eastAsia="zh-CN" w:bidi="ar-SA"/>
        </w:rPr>
      </w:pPr>
      <w:r>
        <w:rPr>
          <w:rFonts w:cs="Times New Roman"/>
          <w:b/>
          <w:color w:val="auto"/>
          <w:sz w:val="24"/>
          <w:szCs w:val="24"/>
          <w:lang w:val="ru-RU" w:eastAsia="zh-CN" w:bidi="ar-SA"/>
        </w:rPr>
        <w:t>Техническая спецификация оказанных услуг</w:t>
      </w:r>
    </w:p>
    <w:p>
      <w:pPr>
        <w:pStyle w:val="Normal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ru-RU" w:eastAsia="zh-CN" w:bidi="ar-SA"/>
        </w:rPr>
      </w:pPr>
      <w:r>
        <w:rPr>
          <w:rFonts w:cs="Times New Roman"/>
          <w:b/>
          <w:color w:val="auto"/>
          <w:sz w:val="24"/>
          <w:szCs w:val="24"/>
          <w:lang w:val="ru-RU" w:eastAsia="zh-CN" w:bidi="ar-SA"/>
        </w:rPr>
      </w:r>
    </w:p>
    <w:tbl>
      <w:tblPr>
        <w:tblW w:w="15026" w:type="dxa"/>
        <w:jc w:val="start"/>
        <w:tblInd w:w="-34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599"/>
        <w:gridCol w:w="2500"/>
        <w:gridCol w:w="8525"/>
        <w:gridCol w:w="3401"/>
      </w:tblGrid>
      <w:tr>
        <w:trPr>
          <w:trHeight w:val="100" w:hRule="atLeast"/>
        </w:trPr>
        <w:tc>
          <w:tcPr>
            <w:tcW w:w="59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ru-RU" w:eastAsia="zh-CN" w:bidi="ar-SA"/>
              </w:rPr>
              <w:t>№</w:t>
            </w:r>
          </w:p>
          <w:p>
            <w:pPr>
              <w:pStyle w:val="Normal"/>
              <w:jc w:val="center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ru-RU" w:eastAsia="zh-CN" w:bidi="ar-SA"/>
              </w:rPr>
              <w:t>п/п</w:t>
            </w:r>
          </w:p>
        </w:tc>
        <w:tc>
          <w:tcPr>
            <w:tcW w:w="25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ru-RU" w:eastAsia="zh-CN" w:bidi="ar-SA"/>
              </w:rPr>
              <w:t>Наименование услуг</w:t>
            </w:r>
          </w:p>
        </w:tc>
        <w:tc>
          <w:tcPr>
            <w:tcW w:w="8525" w:type="dxa"/>
            <w:tcBorders>
              <w:top w:val="single" w:sz="6" w:space="0" w:color="000000"/>
              <w:start w:val="single" w:sz="4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ru-RU" w:eastAsia="zh-CN" w:bidi="ar-SA"/>
              </w:rPr>
              <w:t>Техническая спецификация, характеристика услуг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  <w:vAlign w:val="center"/>
          </w:tcPr>
          <w:p>
            <w:pPr>
              <w:pStyle w:val="Normal"/>
              <w:jc w:val="center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b/>
                <w:bCs/>
                <w:color w:val="auto"/>
                <w:sz w:val="24"/>
                <w:szCs w:val="24"/>
                <w:lang w:val="ru-RU" w:eastAsia="zh-CN" w:bidi="ar-SA"/>
              </w:rPr>
              <w:t>Место оказания услуг</w:t>
            </w:r>
          </w:p>
        </w:tc>
      </w:tr>
      <w:tr>
        <w:trPr>
          <w:trHeight w:val="288" w:hRule="atLeast"/>
        </w:trPr>
        <w:tc>
          <w:tcPr>
            <w:tcW w:w="599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>1</w:t>
            </w:r>
          </w:p>
        </w:tc>
        <w:tc>
          <w:tcPr>
            <w:tcW w:w="2500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>2</w:t>
            </w:r>
          </w:p>
        </w:tc>
        <w:tc>
          <w:tcPr>
            <w:tcW w:w="8525" w:type="dxa"/>
            <w:tcBorders>
              <w:top w:val="single" w:sz="6" w:space="0" w:color="000000"/>
              <w:start w:val="single" w:sz="4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>3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jc w:val="center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>4</w:t>
            </w:r>
          </w:p>
        </w:tc>
      </w:tr>
      <w:tr>
        <w:trPr>
          <w:trHeight w:val="1010" w:hRule="atLeast"/>
        </w:trPr>
        <w:tc>
          <w:tcPr>
            <w:tcW w:w="599" w:type="dxa"/>
            <w:tcBorders>
              <w:top w:val="single" w:sz="6" w:space="0" w:color="000000"/>
              <w:start w:val="single" w:sz="6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numPr>
                <w:ilvl w:val="0"/>
                <w:numId w:val="3"/>
              </w:numPr>
              <w:snapToGrid w:val="false"/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</w:r>
          </w:p>
        </w:tc>
        <w:tc>
          <w:tcPr>
            <w:tcW w:w="2500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>Услуги по вывозу (сбору) неопасных отходов/имущества/материалов</w:t>
            </w:r>
          </w:p>
        </w:tc>
        <w:tc>
          <w:tcPr>
            <w:tcW w:w="8525" w:type="dxa"/>
            <w:tcBorders>
              <w:top w:val="single" w:sz="6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>Вызов автомашины грузовой. Для вывоза бытовых отходов. С погрузчиком. Вместимость кузова</w:t>
            </w: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 xml:space="preserve"> –</w:t>
            </w: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 xml:space="preserve"> </w:t>
            </w: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>н</w:t>
            </w: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>е менее 20 м.кв.</w:t>
            </w:r>
          </w:p>
        </w:tc>
        <w:tc>
          <w:tcPr>
            <w:tcW w:w="3401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rPr>
                <w:color w:val="auto"/>
                <w:lang w:val="ru-RU" w:eastAsia="zh-CN" w:bidi="ar-SA"/>
              </w:rPr>
            </w:pPr>
            <w:r>
              <w:rPr>
                <w:rFonts w:cs="Times New Roman"/>
                <w:color w:val="auto"/>
                <w:sz w:val="24"/>
                <w:szCs w:val="24"/>
                <w:lang w:val="ru-RU" w:eastAsia="zh-CN" w:bidi="ar-SA"/>
              </w:rPr>
              <w:t>Костанайская область, г. Рудный, Парковая, 45</w:t>
            </w:r>
          </w:p>
        </w:tc>
      </w:tr>
    </w:tbl>
    <w:p>
      <w:pPr>
        <w:pStyle w:val="Normal"/>
        <w:jc w:val="end"/>
        <w:rPr>
          <w:rFonts w:ascii="Times New Roman" w:hAnsi="Times New Roman" w:cs="Times New Roman"/>
          <w:color w:val="auto"/>
          <w:sz w:val="24"/>
          <w:szCs w:val="24"/>
          <w:lang w:val="ru-RU" w:eastAsia="zh-CN" w:bidi="ar-SA"/>
        </w:rPr>
      </w:pPr>
      <w:r>
        <w:rPr>
          <w:rFonts w:cs="Times New Roman"/>
          <w:color w:val="auto"/>
          <w:sz w:val="24"/>
          <w:szCs w:val="24"/>
          <w:lang w:val="ru-RU" w:eastAsia="zh-CN" w:bidi="ar-SA"/>
        </w:rPr>
      </w:r>
    </w:p>
    <w:sectPr>
      <w:headerReference w:type="even" r:id="rId2"/>
      <w:headerReference w:type="default" r:id="rId3"/>
      <w:headerReference w:type="first" r:id="rId4"/>
      <w:type w:val="nextPage"/>
      <w:pgSz w:orient="landscape" w:w="16838" w:h="11906"/>
      <w:pgMar w:left="1418" w:right="678" w:gutter="0" w:header="709" w:top="868" w:footer="0" w:bottom="719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Cambria">
    <w:charset w:val="01"/>
    <w:family w:val="swiss"/>
    <w:pitch w:val="default"/>
  </w:font>
  <w:font w:name="Symbol">
    <w:charset w:val="01"/>
    <w:family w:val="swiss"/>
    <w:pitch w:val="default"/>
  </w:font>
  <w:font w:name="Tahoma">
    <w:charset w:val="01"/>
    <w:family w:val="swiss"/>
    <w:pitch w:val="default"/>
  </w:font>
  <w:font w:name="Courier New">
    <w:charset w:val="01"/>
    <w:family w:val="swiss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decimal"/>
      <w:lvlText w:val="%1."/>
      <w:lvlJc w:val="start"/>
      <w:pPr>
        <w:tabs>
          <w:tab w:val="num" w:pos="360"/>
        </w:tabs>
        <w:ind w:start="360" w:hanging="360"/>
      </w:pPr>
      <w:rPr/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3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>
        <w:sz w:val="20"/>
        <w:szCs w:val="20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90"/>
  <w:defaultTabStop w:val="708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Noto Serif CJK SC" w:cs="Lohit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lineRule="auto" w:line="276"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val="ru-RU"/>
    </w:rPr>
  </w:style>
  <w:style w:type="character" w:styleId="WW8Num3z0">
    <w:name w:val="WW8Num3z0"/>
    <w:qFormat/>
    <w:rPr>
      <w:sz w:val="20"/>
      <w:szCs w:val="20"/>
    </w:rPr>
  </w:style>
  <w:style w:type="character" w:styleId="WW8Num2z0">
    <w:name w:val="WW8Num2z0"/>
    <w:qFormat/>
    <w:rPr/>
  </w:style>
  <w:style w:type="character" w:styleId="WW8Num2z1">
    <w:name w:val="WW8Num2z1"/>
    <w:qFormat/>
    <w:rPr>
      <w:b w:val="false"/>
    </w:rPr>
  </w:style>
  <w:style w:type="character" w:styleId="WW8Num3z1">
    <w:name w:val="WW8Num3z1"/>
    <w:qFormat/>
    <w:rPr>
      <w:b w:val="false"/>
    </w:rPr>
  </w:style>
  <w:style w:type="character" w:styleId="WW8Num8z0">
    <w:name w:val="WW8Num8z0"/>
    <w:qFormat/>
    <w:rPr>
      <w:b w:val="false"/>
    </w:rPr>
  </w:style>
  <w:style w:type="character" w:styleId="WW8Num9z0">
    <w:name w:val="WW8Num9z0"/>
    <w:qFormat/>
    <w:rPr>
      <w:strike w:val="false"/>
      <w:dstrike w:val="false"/>
    </w:rPr>
  </w:style>
  <w:style w:type="character" w:styleId="WW8Num9z1">
    <w:name w:val="WW8Num9z1"/>
    <w:qFormat/>
    <w:rPr>
      <w:b w:val="false"/>
    </w:rPr>
  </w:style>
  <w:style w:type="character" w:styleId="WW8Num13z0">
    <w:name w:val="WW8Num13z0"/>
    <w:qFormat/>
    <w:rPr/>
  </w:style>
  <w:style w:type="character" w:styleId="WW8Num13z1">
    <w:name w:val="WW8Num13z1"/>
    <w:qFormat/>
    <w:rPr>
      <w:b w:val="false"/>
    </w:rPr>
  </w:style>
  <w:style w:type="character" w:styleId="WW8Num18z0">
    <w:name w:val="WW8Num18z0"/>
    <w:qFormat/>
    <w:rPr/>
  </w:style>
  <w:style w:type="character" w:styleId="WW8Num20z0">
    <w:name w:val="WW8Num20z0"/>
    <w:qFormat/>
    <w:rPr>
      <w:strike w:val="false"/>
      <w:dstrike w:val="false"/>
    </w:rPr>
  </w:style>
  <w:style w:type="character" w:styleId="WW8Num20z1">
    <w:name w:val="WW8Num20z1"/>
    <w:qFormat/>
    <w:rPr>
      <w:b w:val="false"/>
    </w:rPr>
  </w:style>
  <w:style w:type="character" w:styleId="WW8Num22z0">
    <w:name w:val="WW8Num22z0"/>
    <w:qFormat/>
    <w:rPr/>
  </w:style>
  <w:style w:type="character" w:styleId="WW8Num22z1">
    <w:name w:val="WW8Num22z1"/>
    <w:qFormat/>
    <w:rPr>
      <w:b w:val="false"/>
    </w:rPr>
  </w:style>
  <w:style w:type="character" w:styleId="WW8Num27z0">
    <w:name w:val="WW8Num27z0"/>
    <w:qFormat/>
    <w:rPr>
      <w:strike w:val="false"/>
      <w:dstrike w:val="false"/>
    </w:rPr>
  </w:style>
  <w:style w:type="character" w:styleId="WW8Num27z1">
    <w:name w:val="WW8Num27z1"/>
    <w:qFormat/>
    <w:rPr/>
  </w:style>
  <w:style w:type="character" w:styleId="WW8Num28z0">
    <w:name w:val="WW8Num28z0"/>
    <w:qFormat/>
    <w:rPr/>
  </w:style>
  <w:style w:type="character" w:styleId="WW8Num34z0">
    <w:name w:val="WW8Num34z0"/>
    <w:qFormat/>
    <w:rPr/>
  </w:style>
  <w:style w:type="character" w:styleId="WW8Num36z0">
    <w:name w:val="WW8Num36z0"/>
    <w:qFormat/>
    <w:rPr>
      <w:strike w:val="false"/>
      <w:dstrike w:val="false"/>
    </w:rPr>
  </w:style>
  <w:style w:type="character" w:styleId="WW8Num36z1">
    <w:name w:val="WW8Num36z1"/>
    <w:qFormat/>
    <w:rPr>
      <w:b w:val="false"/>
    </w:rPr>
  </w:style>
  <w:style w:type="character" w:styleId="WW8Num37z0">
    <w:name w:val="WW8Num37z0"/>
    <w:qFormat/>
    <w:rPr>
      <w:sz w:val="20"/>
      <w:szCs w:val="20"/>
    </w:rPr>
  </w:style>
  <w:style w:type="character" w:styleId="WW8Num39z0">
    <w:name w:val="WW8Num39z0"/>
    <w:qFormat/>
    <w:rPr>
      <w:rFonts w:ascii="Symbol" w:hAnsi="Symbol" w:cs="Symbol"/>
    </w:rPr>
  </w:style>
  <w:style w:type="character" w:styleId="Style13">
    <w:name w:val="Основной шрифт абзаца"/>
    <w:qFormat/>
    <w:rPr/>
  </w:style>
  <w:style w:type="character" w:styleId="S0">
    <w:name w:val="s0"/>
    <w:qFormat/>
    <w:rPr>
      <w:rFonts w:ascii="Times New Roman" w:hAnsi="Times New Roman" w:cs="Times New Roman"/>
      <w:b w:val="false"/>
      <w:bCs w:val="false"/>
      <w:i w:val="false"/>
      <w:iCs w:val="false"/>
      <w:strike w:val="false"/>
      <w:dstrike w:val="false"/>
      <w:color w:val="800000"/>
      <w:sz w:val="32"/>
      <w:szCs w:val="32"/>
      <w:u w:val="none"/>
    </w:rPr>
  </w:style>
  <w:style w:type="character" w:styleId="Strong">
    <w:name w:val="Strong"/>
    <w:qFormat/>
    <w:rPr>
      <w:b/>
      <w:bCs/>
    </w:rPr>
  </w:style>
  <w:style w:type="character" w:styleId="Style22">
    <w:name w:val="style22 Знак"/>
    <w:qFormat/>
    <w:rPr>
      <w:rFonts w:ascii="Tahoma" w:hAnsi="Tahoma" w:cs="Tahoma"/>
      <w:sz w:val="18"/>
      <w:szCs w:val="18"/>
      <w:lang w:val="ru-RU" w:bidi="ar-SA"/>
    </w:rPr>
  </w:style>
  <w:style w:type="character" w:styleId="S1">
    <w:name w:val="s1"/>
    <w:qFormat/>
    <w:rPr>
      <w:rFonts w:ascii="Times New Roman" w:hAnsi="Times New Roman" w:cs="Times New Roman"/>
      <w:b/>
      <w:bCs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Style14">
    <w:name w:val="Текст выноски Знак"/>
    <w:qFormat/>
    <w:rPr>
      <w:rFonts w:ascii="Tahoma" w:hAnsi="Tahoma" w:cs="Tahoma"/>
      <w:sz w:val="16"/>
      <w:szCs w:val="16"/>
      <w:lang w:val="ru-RU" w:bidi="ar-SA"/>
    </w:rPr>
  </w:style>
  <w:style w:type="character" w:styleId="Hyperlink">
    <w:name w:val="Hyperlink"/>
    <w:rPr>
      <w:rFonts w:ascii="Times New Roman" w:hAnsi="Times New Roman" w:cs="Times New Roman"/>
      <w:color w:val="333399"/>
      <w:u w:val="single"/>
    </w:rPr>
  </w:style>
  <w:style w:type="character" w:styleId="Style15">
    <w:name w:val="Верхний колонтитул Знак"/>
    <w:qFormat/>
    <w:rPr>
      <w:rFonts w:eastAsia="SimSun;宋体"/>
      <w:sz w:val="24"/>
      <w:szCs w:val="24"/>
      <w:lang w:val="ru-RU" w:eastAsia="zh-CN" w:bidi="ar-SA"/>
    </w:rPr>
  </w:style>
  <w:style w:type="character" w:styleId="Pagenumber">
    <w:name w:val="page number"/>
    <w:basedOn w:val="Style13"/>
    <w:qFormat/>
    <w:rPr/>
  </w:style>
  <w:style w:type="character" w:styleId="Style16">
    <w:name w:val="Нижний колонтитул Знак"/>
    <w:qFormat/>
    <w:rPr>
      <w:rFonts w:eastAsia="SimSun;宋体"/>
      <w:sz w:val="24"/>
      <w:szCs w:val="24"/>
      <w:lang w:val="ru-RU" w:eastAsia="zh-CN" w:bidi="ar-SA"/>
    </w:rPr>
  </w:style>
  <w:style w:type="character" w:styleId="Sectext">
    <w:name w:val="sectext"/>
    <w:basedOn w:val="Style13"/>
    <w:qFormat/>
    <w:rPr/>
  </w:style>
  <w:style w:type="character" w:styleId="Igdictionarysample">
    <w:name w:val="ig_dictionary_sample"/>
    <w:basedOn w:val="Style13"/>
    <w:qFormat/>
    <w:rPr/>
  </w:style>
  <w:style w:type="character" w:styleId="Apple-converted-space">
    <w:name w:val="apple-converted-space"/>
    <w:basedOn w:val="Style13"/>
    <w:qFormat/>
    <w:rPr/>
  </w:style>
  <w:style w:type="character" w:styleId="1">
    <w:name w:val="Заголовок 1 Знак"/>
    <w:qFormat/>
    <w:rPr>
      <w:rFonts w:ascii="Cambria" w:hAnsi="Cambria" w:cs="Cambria"/>
      <w:b/>
      <w:bCs/>
      <w:color w:val="365F91"/>
      <w:sz w:val="28"/>
      <w:szCs w:val="28"/>
    </w:rPr>
  </w:style>
  <w:style w:type="character" w:styleId="HTML">
    <w:name w:val="Стандартный HTML Знак"/>
    <w:qFormat/>
    <w:rPr>
      <w:rFonts w:ascii="Courier New" w:hAnsi="Courier New" w:cs="Courier New"/>
    </w:rPr>
  </w:style>
  <w:style w:type="character" w:styleId="Style17">
    <w:name w:val="Символ нумерации"/>
    <w:qFormat/>
    <w:rPr/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Calibri" w:hAnsi="Calibri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Calibri" w:hAnsi="Calibri"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Calibri" w:hAnsi="Calibri"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">
    <w:name w:val="Caption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">
    <w:name w:val="Caption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1">
    <w:name w:val="Caption1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Caption111111">
    <w:name w:val="Caption111111"/>
    <w:basedOn w:val="Normal"/>
    <w:qFormat/>
    <w:pPr>
      <w:suppressLineNumbers/>
      <w:spacing w:before="120" w:after="120"/>
    </w:pPr>
    <w:rPr>
      <w:rFonts w:ascii="Calibri" w:hAnsi="Calibri" w:cs="Lohit Devanagari"/>
      <w:i/>
      <w:iCs/>
      <w:sz w:val="24"/>
      <w:szCs w:val="24"/>
    </w:rPr>
  </w:style>
  <w:style w:type="paragraph" w:styleId="Style20">
    <w:name w:val="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1">
    <w:name w:val="Обычный (веб)"/>
    <w:basedOn w:val="Normal"/>
    <w:qFormat/>
    <w:pPr>
      <w:spacing w:before="280" w:after="280"/>
    </w:pPr>
    <w:rPr/>
  </w:style>
  <w:style w:type="paragraph" w:styleId="Style221">
    <w:name w:val="style22"/>
    <w:basedOn w:val="Normal"/>
    <w:qFormat/>
    <w:pPr>
      <w:spacing w:before="280" w:after="280"/>
    </w:pPr>
    <w:rPr>
      <w:rFonts w:ascii="Tahoma" w:hAnsi="Tahoma" w:cs="Tahoma"/>
      <w:sz w:val="18"/>
      <w:szCs w:val="18"/>
    </w:rPr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2">
    <w:name w:val="Знак2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WW-">
    <w:name w:val="WW-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4">
    <w:name w:val="Знак Знак Знак Знак Знак Знак Знак Знак Знак Знак Знак Знак Знак"/>
    <w:basedOn w:val="Normal"/>
    <w:qFormat/>
    <w:pPr>
      <w:spacing w:lineRule="exact" w:line="240" w:before="0" w:after="160"/>
    </w:pPr>
    <w:rPr>
      <w:rFonts w:eastAsia="SimSun;宋体"/>
      <w:b/>
      <w:sz w:val="28"/>
      <w:lang w:val="en-US"/>
    </w:rPr>
  </w:style>
  <w:style w:type="paragraph" w:styleId="Style25">
    <w:name w:val="мад"/>
    <w:basedOn w:val="Normal"/>
    <w:qFormat/>
    <w:pPr>
      <w:widowControl w:val="false"/>
      <w:shd w:val="clear" w:fill="FFFFFF"/>
    </w:pPr>
    <w:rPr>
      <w:color w:val="000000"/>
    </w:rPr>
  </w:style>
  <w:style w:type="paragraph" w:styleId="Style26">
    <w:name w:val="Колонтитул"/>
    <w:basedOn w:val="Normal"/>
    <w:qFormat/>
    <w:pPr/>
    <w:rPr/>
  </w:style>
  <w:style w:type="paragraph" w:styleId="Header">
    <w:name w:val="Header"/>
    <w:basedOn w:val="Normal"/>
    <w:pPr/>
    <w:rPr>
      <w:rFonts w:eastAsia="SimSun;宋体"/>
      <w:lang w:eastAsia="zh-CN"/>
    </w:rPr>
  </w:style>
  <w:style w:type="paragraph" w:styleId="Footer">
    <w:name w:val="Footer"/>
    <w:basedOn w:val="Normal"/>
    <w:pPr/>
    <w:rPr>
      <w:rFonts w:eastAsia="SimSun;宋体"/>
      <w:lang w:eastAsia="zh-CN"/>
    </w:rPr>
  </w:style>
  <w:style w:type="paragraph" w:styleId="Style27">
    <w:name w:val="Без интервала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HTML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Style28">
    <w:name w:val="Содержимое таблицы"/>
    <w:basedOn w:val="Normal"/>
    <w:qFormat/>
    <w:pPr>
      <w:widowControl w:val="false"/>
      <w:suppressLineNumbers/>
    </w:pPr>
    <w:rPr/>
  </w:style>
  <w:style w:type="paragraph" w:styleId="Style29">
    <w:name w:val="Заголовок таблицы"/>
    <w:basedOn w:val="Style28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135</TotalTime>
  <Application>LibreOffice/7.6.4.1$Linux_X86_64 LibreOffice_project/e19e193f88cd6c0525a17fb7a176ed8e6a3e2aa1</Application>
  <AppVersion>15.0000</AppVersion>
  <Pages>2</Pages>
  <Words>114</Words>
  <Characters>738</Characters>
  <CharactersWithSpaces>821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2024-01-10T09:42:00Z</dcterms:created>
  <dc:creator>Ermek_U</dc:creator>
  <dc:description/>
  <dc:language>ru-RU</dc:language>
  <cp:lastModifiedBy/>
  <cp:lastPrinted>2014-06-14T10:20:00Z</cp:lastPrinted>
  <dcterms:modified xsi:type="dcterms:W3CDTF">2026-05-26T11:41:59Z</dcterms:modified>
  <cp:revision>88</cp:revision>
  <dc:subject/>
  <dc:title>Договор № ____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