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EB608E1">
      <w:pPr>
        <w:pStyle w:val="25"/>
        <w:spacing w:after="0"/>
        <w:ind w:left="8640"/>
        <w:jc w:val="center"/>
        <w:rPr>
          <w:rFonts w:ascii="Times New Roman" w:hAnsi="Times New Roman" w:eastAsia="Calibri" w:cs="Times New Roman"/>
          <w:color w:val="auto"/>
          <w:sz w:val="20"/>
          <w:szCs w:val="20"/>
          <w:lang w:val="kk-KZ" w:eastAsia="kk-KZ"/>
        </w:rPr>
      </w:pPr>
      <w:bookmarkStart w:id="0" w:name="_GoBack"/>
      <w:bookmarkEnd w:id="0"/>
      <w:r>
        <w:rPr>
          <w:rFonts w:ascii="Times New Roman" w:hAnsi="Times New Roman" w:eastAsia="Calibri" w:cs="Times New Roman"/>
          <w:color w:val="auto"/>
          <w:sz w:val="20"/>
          <w:szCs w:val="20"/>
          <w:lang w:val="kk-KZ" w:eastAsia="kk-KZ"/>
        </w:rPr>
        <w:t>Қосымша 2</w:t>
      </w:r>
    </w:p>
    <w:p w14:paraId="711D40B0">
      <w:pPr>
        <w:pStyle w:val="25"/>
        <w:spacing w:after="0"/>
        <w:jc w:val="center"/>
        <w:rPr>
          <w:rFonts w:ascii="Times New Roman" w:hAnsi="Times New Roman" w:eastAsia="Calibri" w:cs="Times New Roman"/>
          <w:color w:val="auto"/>
          <w:sz w:val="20"/>
          <w:szCs w:val="20"/>
          <w:lang w:val="kk-KZ" w:eastAsia="kk-KZ"/>
        </w:rPr>
      </w:pPr>
    </w:p>
    <w:p w14:paraId="4BDD08FA">
      <w:pPr>
        <w:pStyle w:val="25"/>
        <w:spacing w:after="0"/>
        <w:jc w:val="center"/>
        <w:rPr>
          <w:rFonts w:ascii="Times New Roman" w:hAnsi="Times New Roman" w:eastAsia="Calibri" w:cs="Times New Roman"/>
          <w:color w:val="auto"/>
          <w:sz w:val="20"/>
          <w:szCs w:val="20"/>
          <w:lang w:val="kk-KZ" w:eastAsia="kk-KZ"/>
        </w:rPr>
      </w:pPr>
      <w:r>
        <w:rPr>
          <w:rFonts w:ascii="Times New Roman" w:hAnsi="Times New Roman" w:eastAsia="Calibri" w:cs="Times New Roman"/>
          <w:color w:val="auto"/>
          <w:sz w:val="20"/>
          <w:szCs w:val="20"/>
          <w:lang w:val="kk-KZ" w:eastAsia="kk-KZ"/>
        </w:rPr>
        <w:t>Техникалық ерекшелік</w:t>
      </w:r>
    </w:p>
    <w:p w14:paraId="0A478E63">
      <w:pPr>
        <w:rPr>
          <w:lang w:val="kk-KZ" w:eastAsia="kk-KZ"/>
        </w:rPr>
      </w:pPr>
    </w:p>
    <w:p w14:paraId="79AE2B9E">
      <w:pPr>
        <w:pStyle w:val="164"/>
        <w:spacing w:after="0" w:line="240" w:lineRule="auto"/>
        <w:jc w:val="center"/>
        <w:rPr>
          <w:rFonts w:ascii="Times New Roman" w:hAnsi="Times New Roman" w:eastAsia="Calibri" w:cs="Times New Roman"/>
          <w:b/>
          <w:sz w:val="20"/>
          <w:szCs w:val="20"/>
          <w:lang w:val="kk-KZ"/>
        </w:rPr>
      </w:pPr>
      <w:r>
        <w:rPr>
          <w:rFonts w:ascii="Times New Roman" w:hAnsi="Times New Roman" w:eastAsia="Calibri" w:cs="Times New Roman"/>
          <w:b/>
          <w:sz w:val="20"/>
          <w:szCs w:val="20"/>
          <w:lang w:val="kk-KZ" w:eastAsia="kk-KZ"/>
        </w:rPr>
        <w:t>Қолданыстағы тегін тамақтануды есепке алу аппараттық-бағдарламалық кешенін бұлттық платформаға қосу, лицензия беру және техникалық қолдау арқылы пайдалануды кешенді қамтамасыз ету</w:t>
      </w:r>
    </w:p>
    <w:p w14:paraId="29CC5392">
      <w:pPr>
        <w:pStyle w:val="164"/>
        <w:spacing w:after="0" w:line="240" w:lineRule="auto"/>
        <w:jc w:val="center"/>
        <w:rPr>
          <w:rFonts w:ascii="Times New Roman" w:hAnsi="Times New Roman" w:eastAsia="Calibri" w:cs="Times New Roman"/>
          <w:b/>
          <w:sz w:val="20"/>
          <w:szCs w:val="20"/>
          <w:lang w:val="kk-KZ"/>
        </w:rPr>
      </w:pPr>
    </w:p>
    <w:p w14:paraId="50AA2D77">
      <w:pPr>
        <w:pStyle w:val="164"/>
        <w:spacing w:after="0" w:line="240" w:lineRule="auto"/>
        <w:jc w:val="both"/>
        <w:rPr>
          <w:rFonts w:ascii="Times New Roman" w:hAnsi="Times New Roman" w:eastAsia="Calibri" w:cs="Times New Roman"/>
          <w:sz w:val="20"/>
          <w:szCs w:val="20"/>
          <w:lang w:val="kk-KZ"/>
        </w:rPr>
      </w:pPr>
      <w:r>
        <w:rPr>
          <w:rFonts w:ascii="Times New Roman" w:hAnsi="Times New Roman" w:eastAsia="Calibri" w:cs="Times New Roman"/>
          <w:b/>
          <w:sz w:val="20"/>
          <w:szCs w:val="20"/>
          <w:lang w:val="kk-KZ" w:eastAsia="kk-KZ"/>
        </w:rPr>
        <w:t>Атауы:</w:t>
      </w:r>
      <w:r>
        <w:rPr>
          <w:rFonts w:ascii="Times New Roman" w:hAnsi="Times New Roman" w:eastAsia="Calibri" w:cs="Times New Roman"/>
          <w:sz w:val="20"/>
          <w:szCs w:val="20"/>
          <w:lang w:val="kk-KZ" w:eastAsia="kk-KZ"/>
        </w:rPr>
        <w:t xml:space="preserve"> Қолданыстағы тегін тамақтануды есепке алу аппараттық-бағдарламалық кешенін бұлттық платформаға қосу, лицензия беру және техникалық қолдау арқылы пайдалануды кешенді қамтамасыз ету</w:t>
      </w:r>
    </w:p>
    <w:p w14:paraId="2B9F0BBE">
      <w:pPr>
        <w:pStyle w:val="164"/>
        <w:spacing w:after="0" w:line="240" w:lineRule="auto"/>
        <w:jc w:val="both"/>
        <w:rPr>
          <w:rFonts w:ascii="Times New Roman" w:hAnsi="Times New Roman" w:cs="Times New Roman"/>
          <w:sz w:val="20"/>
          <w:szCs w:val="20"/>
          <w:lang w:val="kk-KZ"/>
        </w:rPr>
      </w:pPr>
      <w:r>
        <w:rPr>
          <w:rFonts w:ascii="Times New Roman" w:hAnsi="Times New Roman" w:eastAsia="Calibri" w:cs="Times New Roman"/>
          <w:b/>
          <w:sz w:val="20"/>
          <w:szCs w:val="20"/>
          <w:lang w:val="kk-KZ" w:eastAsia="kk-KZ"/>
        </w:rPr>
        <w:t>Саны / өлшем бірлігі:</w:t>
      </w:r>
      <w:r>
        <w:rPr>
          <w:rFonts w:ascii="Times New Roman" w:hAnsi="Times New Roman" w:eastAsia="Calibri" w:cs="Times New Roman"/>
          <w:sz w:val="20"/>
          <w:szCs w:val="20"/>
          <w:lang w:val="kk-KZ" w:eastAsia="kk-KZ"/>
        </w:rPr>
        <w:t xml:space="preserve"> 1 / бір қызмет</w:t>
      </w:r>
    </w:p>
    <w:p w14:paraId="0F9245E1">
      <w:pPr>
        <w:pStyle w:val="164"/>
        <w:spacing w:after="0" w:line="240" w:lineRule="auto"/>
        <w:jc w:val="both"/>
        <w:rPr>
          <w:rFonts w:ascii="Times New Roman" w:hAnsi="Times New Roman" w:cs="Times New Roman"/>
          <w:sz w:val="20"/>
          <w:szCs w:val="20"/>
          <w:lang w:val="kk-KZ"/>
        </w:rPr>
      </w:pPr>
      <w:r>
        <w:rPr>
          <w:rFonts w:ascii="Times New Roman" w:hAnsi="Times New Roman" w:eastAsia="Calibri" w:cs="Times New Roman"/>
          <w:b/>
          <w:sz w:val="20"/>
          <w:szCs w:val="20"/>
          <w:lang w:val="kk-KZ" w:eastAsia="kk-KZ"/>
        </w:rPr>
        <w:t>Қызмет көрсету мерзімі:</w:t>
      </w:r>
      <w:r>
        <w:rPr>
          <w:rFonts w:ascii="Times New Roman" w:hAnsi="Times New Roman" w:eastAsia="Calibri" w:cs="Times New Roman"/>
          <w:sz w:val="20"/>
          <w:szCs w:val="20"/>
          <w:lang w:val="kk-KZ" w:eastAsia="kk-KZ"/>
        </w:rPr>
        <w:t xml:space="preserve"> шарт күшіне енген күннен бастап 2026 жылғы 31 желтоқсанды қоса алғанда</w:t>
      </w:r>
    </w:p>
    <w:p w14:paraId="798F71A5">
      <w:pPr>
        <w:pStyle w:val="164"/>
        <w:spacing w:after="0" w:line="240" w:lineRule="auto"/>
        <w:jc w:val="both"/>
        <w:rPr>
          <w:rFonts w:ascii="Times New Roman" w:hAnsi="Times New Roman" w:cs="Times New Roman"/>
          <w:sz w:val="20"/>
          <w:szCs w:val="20"/>
          <w:lang w:val="kk-KZ"/>
        </w:rPr>
      </w:pPr>
      <w:r>
        <w:rPr>
          <w:rFonts w:ascii="Times New Roman" w:hAnsi="Times New Roman" w:eastAsia="Calibri" w:cs="Times New Roman"/>
          <w:b/>
          <w:sz w:val="20"/>
          <w:szCs w:val="20"/>
          <w:lang w:val="kk-KZ" w:eastAsia="kk-KZ"/>
        </w:rPr>
        <w:t>Қызмет көрсету орны:</w:t>
      </w:r>
      <w:r>
        <w:rPr>
          <w:rFonts w:ascii="Times New Roman" w:hAnsi="Times New Roman" w:eastAsia="Calibri" w:cs="Times New Roman"/>
          <w:sz w:val="20"/>
          <w:szCs w:val="20"/>
          <w:lang w:val="kk-KZ" w:eastAsia="kk-KZ"/>
        </w:rPr>
        <w:t xml:space="preserve"> Тапсырыс берушінің орналасқан жері бойынша және бұлттық платформа арқылы қашықтан. Қызмет көрсетілетін жабдық саны: 1 бірлік. Өндірушісі және моделі: ___ (қажет болған жағдайда Тапсырыс беруші көрсетеді)</w:t>
      </w:r>
    </w:p>
    <w:p w14:paraId="0F07CDE4">
      <w:pPr>
        <w:pStyle w:val="165"/>
        <w:keepLines/>
        <w:spacing w:before="0" w:after="0" w:line="240" w:lineRule="auto"/>
        <w:ind w:right="180"/>
        <w:jc w:val="both"/>
        <w:rPr>
          <w:rFonts w:ascii="Times New Roman" w:hAnsi="Times New Roman" w:cs="Times New Roman"/>
          <w:sz w:val="20"/>
          <w:szCs w:val="20"/>
          <w:lang w:val="kk-KZ"/>
        </w:rPr>
      </w:pPr>
      <w:r>
        <w:rPr>
          <w:rFonts w:ascii="Times New Roman" w:hAnsi="Times New Roman" w:eastAsia="Calibri" w:cs="Times New Roman"/>
          <w:b/>
          <w:sz w:val="20"/>
          <w:szCs w:val="20"/>
          <w:lang w:val="kk-KZ" w:eastAsia="kk-KZ"/>
        </w:rPr>
        <w:t>Сатып алудың бірыңғай нәтижесі.</w:t>
      </w:r>
      <w:r>
        <w:rPr>
          <w:rFonts w:ascii="Times New Roman" w:hAnsi="Times New Roman" w:eastAsia="Calibri" w:cs="Times New Roman"/>
          <w:sz w:val="20"/>
          <w:szCs w:val="20"/>
          <w:lang w:val="kk-KZ" w:eastAsia="kk-KZ"/>
        </w:rPr>
        <w:t xml:space="preserve"> Тапсырыс беруші жекелеген жұмыстар мен лицензияларды емес, пайдалануға дайын нәтижені сатып алады: қолданыстағы жабдық бұлттық платформаға қосылады, тамақтану оқиғалары «Әлеуметтік әмиян» ақпараттық жүйесіне (бұдан әрі – «Әлеуметтік әмиян» АЖ) беріледі, функционалға қолжетімділік іске қосылады және белгіленген мерзім аяқталғанға дейін қолдау көрсетіледі. Барлық құрамдас бөліктер бір лоттың құнына енгізіледі.</w:t>
      </w:r>
    </w:p>
    <w:p w14:paraId="39725C8D">
      <w:pPr>
        <w:pStyle w:val="2"/>
        <w:spacing w:before="0" w:after="0"/>
        <w:rPr>
          <w:rFonts w:ascii="Times New Roman" w:hAnsi="Times New Roman" w:eastAsia="Calibri" w:cs="Times New Roman"/>
          <w:color w:val="auto"/>
          <w:sz w:val="20"/>
          <w:szCs w:val="20"/>
          <w:lang w:val="kk-KZ"/>
        </w:rPr>
      </w:pPr>
    </w:p>
    <w:p w14:paraId="735553F4">
      <w:pPr>
        <w:pStyle w:val="2"/>
        <w:spacing w:before="0" w:after="0"/>
        <w:jc w:val="center"/>
        <w:rPr>
          <w:rFonts w:ascii="Times New Roman" w:hAnsi="Times New Roman" w:cs="Times New Roman"/>
          <w:color w:val="auto"/>
          <w:sz w:val="20"/>
          <w:szCs w:val="20"/>
          <w:lang w:val="kk-KZ"/>
        </w:rPr>
      </w:pPr>
      <w:r>
        <w:rPr>
          <w:rFonts w:ascii="Times New Roman" w:hAnsi="Times New Roman" w:eastAsia="Calibri" w:cs="Times New Roman"/>
          <w:color w:val="auto"/>
          <w:sz w:val="20"/>
          <w:szCs w:val="20"/>
          <w:lang w:val="kk-KZ" w:eastAsia="kk-KZ"/>
        </w:rPr>
        <w:t>1. Бастапқы жағдайлар және сатып алудың мақсаты</w:t>
      </w:r>
    </w:p>
    <w:p w14:paraId="2B82A377">
      <w:pPr>
        <w:spacing w:after="0" w:line="240" w:lineRule="auto"/>
        <w:jc w:val="both"/>
        <w:rPr>
          <w:rFonts w:ascii="Times New Roman" w:hAnsi="Times New Roman" w:cs="Times New Roman"/>
          <w:color w:val="auto"/>
          <w:sz w:val="20"/>
          <w:szCs w:val="20"/>
          <w:lang w:val="kk-KZ"/>
        </w:rPr>
      </w:pPr>
      <w:r>
        <w:rPr>
          <w:rFonts w:ascii="Times New Roman" w:hAnsi="Times New Roman" w:cs="Times New Roman"/>
          <w:color w:val="auto"/>
          <w:sz w:val="20"/>
          <w:szCs w:val="20"/>
          <w:lang w:val="kk-KZ" w:eastAsia="kk-KZ"/>
        </w:rPr>
        <w:t>1.1. Тапсырыс берушіде тегін тамақтануды алу фактілерін тіркеуге қолданылатын, пайдалануға берілген аппараттық-бағдарламалық кешен бар (бұдан әрі – қолданыстағы АБК). Нақты конфигурация, өндіруші, модель және сәйкестендіру тәсілі тиісті білім беру ұйымының нақты жабдықталуына қарай айқындалады.</w:t>
      </w:r>
    </w:p>
    <w:p w14:paraId="4DC5CE64">
      <w:pPr>
        <w:spacing w:after="0" w:line="240" w:lineRule="auto"/>
        <w:jc w:val="both"/>
        <w:rPr>
          <w:rFonts w:ascii="Times New Roman" w:hAnsi="Times New Roman" w:cs="Times New Roman"/>
          <w:color w:val="auto"/>
          <w:sz w:val="20"/>
          <w:szCs w:val="20"/>
          <w:lang w:val="kk-KZ"/>
        </w:rPr>
      </w:pPr>
      <w:r>
        <w:rPr>
          <w:rFonts w:ascii="Times New Roman" w:hAnsi="Times New Roman" w:cs="Times New Roman"/>
          <w:color w:val="auto"/>
          <w:sz w:val="20"/>
          <w:szCs w:val="20"/>
          <w:lang w:val="kk-KZ" w:eastAsia="kk-KZ"/>
        </w:rPr>
        <w:t>1.2. Сатып алудың мақсаты – жаңа АБК сатып алмай, орнатылған жабдықты цифрлық функциялардың кеңейтілген жиынтығымен, орталықтандырылған есептілікпен және «Әлеуметтік әмиян» АЖ-мен тұрақты өнеркәсіптік алмасумен одан әрі пайдалану.</w:t>
      </w:r>
    </w:p>
    <w:p w14:paraId="388BBB14">
      <w:pPr>
        <w:spacing w:after="0" w:line="240" w:lineRule="auto"/>
        <w:jc w:val="both"/>
        <w:rPr>
          <w:rFonts w:ascii="Times New Roman" w:hAnsi="Times New Roman" w:cs="Times New Roman"/>
          <w:color w:val="auto"/>
          <w:sz w:val="20"/>
          <w:szCs w:val="20"/>
          <w:lang w:val="kk-KZ"/>
        </w:rPr>
      </w:pPr>
      <w:r>
        <w:rPr>
          <w:rFonts w:ascii="Times New Roman" w:hAnsi="Times New Roman" w:cs="Times New Roman"/>
          <w:color w:val="auto"/>
          <w:sz w:val="20"/>
          <w:szCs w:val="20"/>
          <w:lang w:val="kk-KZ" w:eastAsia="kk-KZ"/>
        </w:rPr>
        <w:t>1.3. Шарт шеңберінде Өнім беруші қолданыстағы АБК-ны өзі ұсынатын бұлттық платформаға қосады, лицензиялық қолжетімділікті іске қосады және қосылымға техникалық қызмет көрсетуді өзіне алады. Қолда бар сәйкестендіргіштер алмасуға жеткілікті болған жағдайда, пайдаланушыларды қайта тіркеуге және биометриялық деректерді қайта жинауға жол берілмейді.</w:t>
      </w:r>
    </w:p>
    <w:p w14:paraId="6394C58E">
      <w:pPr>
        <w:spacing w:after="0" w:line="240" w:lineRule="auto"/>
        <w:jc w:val="both"/>
        <w:rPr>
          <w:rFonts w:ascii="Times New Roman" w:hAnsi="Times New Roman" w:cs="Times New Roman"/>
          <w:color w:val="auto"/>
          <w:sz w:val="20"/>
          <w:szCs w:val="20"/>
          <w:lang w:val="kk-KZ"/>
        </w:rPr>
      </w:pPr>
      <w:r>
        <w:rPr>
          <w:rFonts w:ascii="Times New Roman" w:hAnsi="Times New Roman" w:cs="Times New Roman"/>
          <w:color w:val="auto"/>
          <w:sz w:val="20"/>
          <w:szCs w:val="20"/>
          <w:lang w:val="kk-KZ" w:eastAsia="kk-KZ"/>
        </w:rPr>
        <w:t>1.4. Егер хабарландыруды орналастырғанға дейін Тапсырыс беруші жабдықтың өндірушісі немесе моделі туралы мәліметтерді толтырса, мұндай мәліметтер тек қызмет көрсету объектісін дәл айқындау және үйлесімділікті қамтамасыз ету үшін қолданылады. Оларды көрсету «Мемлекеттік сатып алу туралы» Қазақстан Республикасы Заңының 12-бабы 5-тармағының 1) және 3) тармақшалары ескеріле отырып жүзеге асырылады.</w:t>
      </w:r>
    </w:p>
    <w:p w14:paraId="5D6BC9E0">
      <w:pPr>
        <w:pStyle w:val="2"/>
        <w:spacing w:before="0" w:after="0"/>
        <w:rPr>
          <w:rFonts w:ascii="Times New Roman" w:hAnsi="Times New Roman" w:eastAsia="Calibri" w:cs="Times New Roman"/>
          <w:color w:val="auto"/>
          <w:sz w:val="20"/>
          <w:szCs w:val="20"/>
          <w:lang w:val="kk-KZ"/>
        </w:rPr>
      </w:pPr>
    </w:p>
    <w:p w14:paraId="0B2C88CB">
      <w:pPr>
        <w:pStyle w:val="2"/>
        <w:spacing w:before="0" w:after="0"/>
        <w:jc w:val="center"/>
        <w:rPr>
          <w:rFonts w:ascii="Times New Roman" w:hAnsi="Times New Roman" w:cs="Times New Roman"/>
          <w:color w:val="auto"/>
          <w:sz w:val="20"/>
          <w:szCs w:val="20"/>
          <w:lang w:val="kk-KZ"/>
        </w:rPr>
      </w:pPr>
      <w:r>
        <w:rPr>
          <w:rFonts w:ascii="Times New Roman" w:hAnsi="Times New Roman" w:eastAsia="Calibri" w:cs="Times New Roman"/>
          <w:color w:val="auto"/>
          <w:sz w:val="20"/>
          <w:szCs w:val="20"/>
          <w:lang w:val="kk-KZ" w:eastAsia="kk-KZ"/>
        </w:rPr>
        <w:t>2. Қызметтің мазмұны және өлшенетін нәтижесі</w:t>
      </w:r>
    </w:p>
    <w:p w14:paraId="4688953C">
      <w:pPr>
        <w:spacing w:after="0" w:line="240" w:lineRule="auto"/>
        <w:jc w:val="both"/>
        <w:rPr>
          <w:rFonts w:ascii="Times New Roman" w:hAnsi="Times New Roman" w:cs="Times New Roman"/>
          <w:color w:val="auto"/>
          <w:sz w:val="20"/>
          <w:szCs w:val="20"/>
          <w:lang w:val="kk-KZ"/>
        </w:rPr>
      </w:pPr>
      <w:r>
        <w:rPr>
          <w:rFonts w:ascii="Times New Roman" w:hAnsi="Times New Roman" w:cs="Times New Roman"/>
          <w:color w:val="auto"/>
          <w:sz w:val="20"/>
          <w:szCs w:val="20"/>
          <w:lang w:val="kk-KZ" w:eastAsia="kk-KZ"/>
        </w:rPr>
        <w:t>2.1. Шарттың нысанасы тексеруді, интеграциялауды, лицензиялауды, баптауды, пайдалану кезіндегі техникалық қызмет көрсетуді және сүйемелдеуді жиынтық түрде орындау арқылы қол жеткізілетін бірыңғай қызмет болып табылады. Аталған құрамдас бөліктердің ешқайсысы дербес қабылдауға немесе бөлек төлеуге жатпайды.</w:t>
      </w:r>
    </w:p>
    <w:tbl>
      <w:tblPr>
        <w:tblStyle w:val="12"/>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74"/>
        <w:gridCol w:w="1701"/>
        <w:gridCol w:w="8120"/>
      </w:tblGrid>
      <w:tr w14:paraId="575000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4" w:hRule="atLeast"/>
          <w:tblHeader/>
        </w:trPr>
        <w:tc>
          <w:tcPr>
            <w:tcW w:w="321" w:type="pct"/>
            <w:tcMar>
              <w:top w:w="80" w:type="dxa"/>
              <w:left w:w="120" w:type="dxa"/>
              <w:bottom w:w="80" w:type="dxa"/>
              <w:right w:w="120" w:type="dxa"/>
            </w:tcMar>
            <w:vAlign w:val="center"/>
          </w:tcPr>
          <w:p w14:paraId="00D1EF33">
            <w:pPr>
              <w:pStyle w:val="167"/>
              <w:spacing w:line="240" w:lineRule="auto"/>
              <w:jc w:val="center"/>
              <w:rPr>
                <w:rFonts w:ascii="Times New Roman" w:hAnsi="Times New Roman" w:cs="Times New Roman"/>
                <w:b w:val="0"/>
                <w:bCs/>
                <w:color w:val="auto"/>
                <w:sz w:val="20"/>
                <w:szCs w:val="20"/>
              </w:rPr>
            </w:pPr>
            <w:r>
              <w:rPr>
                <w:rFonts w:ascii="Times New Roman" w:hAnsi="Times New Roman" w:eastAsia="Calibri" w:cs="Times New Roman"/>
                <w:bCs/>
                <w:color w:val="auto"/>
                <w:sz w:val="20"/>
                <w:szCs w:val="20"/>
                <w:lang w:val="kk-KZ" w:eastAsia="kk-KZ"/>
              </w:rPr>
              <w:t>№</w:t>
            </w:r>
          </w:p>
        </w:tc>
        <w:tc>
          <w:tcPr>
            <w:tcW w:w="810" w:type="pct"/>
            <w:tcMar>
              <w:top w:w="80" w:type="dxa"/>
              <w:left w:w="120" w:type="dxa"/>
              <w:bottom w:w="80" w:type="dxa"/>
              <w:right w:w="120" w:type="dxa"/>
            </w:tcMar>
            <w:vAlign w:val="center"/>
          </w:tcPr>
          <w:p w14:paraId="10D2272F">
            <w:pPr>
              <w:pStyle w:val="167"/>
              <w:spacing w:line="240" w:lineRule="auto"/>
              <w:jc w:val="center"/>
              <w:rPr>
                <w:rFonts w:ascii="Times New Roman" w:hAnsi="Times New Roman" w:cs="Times New Roman"/>
                <w:b w:val="0"/>
                <w:bCs/>
                <w:color w:val="auto"/>
                <w:sz w:val="20"/>
                <w:szCs w:val="20"/>
              </w:rPr>
            </w:pPr>
            <w:r>
              <w:rPr>
                <w:rFonts w:ascii="Times New Roman" w:hAnsi="Times New Roman" w:eastAsia="Calibri" w:cs="Times New Roman"/>
                <w:bCs/>
                <w:color w:val="auto"/>
                <w:sz w:val="20"/>
                <w:szCs w:val="20"/>
                <w:lang w:val="kk-KZ" w:eastAsia="kk-KZ"/>
              </w:rPr>
              <w:t>Мазмұны</w:t>
            </w:r>
          </w:p>
        </w:tc>
        <w:tc>
          <w:tcPr>
            <w:tcW w:w="3868" w:type="pct"/>
            <w:tcMar>
              <w:top w:w="80" w:type="dxa"/>
              <w:left w:w="120" w:type="dxa"/>
              <w:bottom w:w="80" w:type="dxa"/>
              <w:right w:w="120" w:type="dxa"/>
            </w:tcMar>
            <w:vAlign w:val="center"/>
          </w:tcPr>
          <w:p w14:paraId="6935FDA1">
            <w:pPr>
              <w:pStyle w:val="167"/>
              <w:spacing w:line="240" w:lineRule="auto"/>
              <w:jc w:val="center"/>
              <w:rPr>
                <w:b w:val="0"/>
                <w:bCs/>
                <w:sz w:val="20"/>
                <w:szCs w:val="20"/>
              </w:rPr>
            </w:pPr>
            <w:r>
              <w:rPr>
                <w:rFonts w:ascii="Times New Roman" w:hAnsi="Times New Roman" w:eastAsia="Calibri" w:cs="Times New Roman"/>
                <w:bCs/>
                <w:color w:val="auto"/>
                <w:sz w:val="20"/>
                <w:szCs w:val="20"/>
                <w:lang w:val="kk-KZ" w:eastAsia="kk-KZ"/>
              </w:rPr>
              <w:t>Тексерілетін нәтиже</w:t>
            </w:r>
          </w:p>
        </w:tc>
      </w:tr>
      <w:tr w14:paraId="6977BE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321" w:type="pct"/>
            <w:tcMar>
              <w:top w:w="80" w:type="dxa"/>
              <w:left w:w="120" w:type="dxa"/>
              <w:bottom w:w="80" w:type="dxa"/>
              <w:right w:w="120" w:type="dxa"/>
            </w:tcMar>
            <w:vAlign w:val="center"/>
          </w:tcPr>
          <w:p w14:paraId="33391C64">
            <w:pPr>
              <w:pStyle w:val="166"/>
              <w:spacing w:line="240" w:lineRule="auto"/>
              <w:jc w:val="center"/>
              <w:rPr>
                <w:rFonts w:ascii="Times New Roman" w:hAnsi="Times New Roman" w:cs="Times New Roman"/>
                <w:color w:val="auto"/>
                <w:sz w:val="20"/>
                <w:szCs w:val="20"/>
              </w:rPr>
            </w:pPr>
            <w:r>
              <w:rPr>
                <w:rFonts w:ascii="Times New Roman" w:hAnsi="Times New Roman" w:eastAsia="Calibri" w:cs="Times New Roman"/>
                <w:color w:val="auto"/>
                <w:sz w:val="20"/>
                <w:szCs w:val="20"/>
                <w:lang w:val="kk-KZ" w:eastAsia="kk-KZ"/>
              </w:rPr>
              <w:t>1</w:t>
            </w:r>
          </w:p>
        </w:tc>
        <w:tc>
          <w:tcPr>
            <w:tcW w:w="810" w:type="pct"/>
            <w:tcMar>
              <w:top w:w="80" w:type="dxa"/>
              <w:left w:w="120" w:type="dxa"/>
              <w:bottom w:w="80" w:type="dxa"/>
              <w:right w:w="120" w:type="dxa"/>
            </w:tcMar>
            <w:vAlign w:val="center"/>
          </w:tcPr>
          <w:p w14:paraId="3102F7FA">
            <w:pPr>
              <w:pStyle w:val="166"/>
              <w:spacing w:line="240" w:lineRule="auto"/>
              <w:rPr>
                <w:rFonts w:ascii="Times New Roman" w:hAnsi="Times New Roman" w:cs="Times New Roman"/>
                <w:color w:val="auto"/>
                <w:sz w:val="20"/>
                <w:szCs w:val="20"/>
              </w:rPr>
            </w:pPr>
            <w:r>
              <w:rPr>
                <w:rFonts w:ascii="Times New Roman" w:hAnsi="Times New Roman" w:eastAsia="Calibri" w:cs="Times New Roman"/>
                <w:color w:val="auto"/>
                <w:sz w:val="20"/>
                <w:szCs w:val="20"/>
                <w:lang w:val="kk-KZ" w:eastAsia="kk-KZ"/>
              </w:rPr>
              <w:t>Тексеру</w:t>
            </w:r>
          </w:p>
        </w:tc>
        <w:tc>
          <w:tcPr>
            <w:tcW w:w="3868" w:type="pct"/>
            <w:tcMar>
              <w:top w:w="80" w:type="dxa"/>
              <w:left w:w="120" w:type="dxa"/>
              <w:bottom w:w="80" w:type="dxa"/>
              <w:right w:w="120" w:type="dxa"/>
            </w:tcMar>
            <w:vAlign w:val="center"/>
          </w:tcPr>
          <w:p w14:paraId="59F00EE1">
            <w:pPr>
              <w:pStyle w:val="166"/>
              <w:spacing w:line="240" w:lineRule="auto"/>
              <w:rPr>
                <w:sz w:val="20"/>
                <w:szCs w:val="20"/>
              </w:rPr>
            </w:pPr>
            <w:r>
              <w:rPr>
                <w:rFonts w:ascii="Times New Roman" w:hAnsi="Times New Roman" w:eastAsia="Calibri" w:cs="Times New Roman"/>
                <w:color w:val="auto"/>
                <w:sz w:val="20"/>
                <w:szCs w:val="20"/>
                <w:lang w:val="kk-KZ" w:eastAsia="kk-KZ"/>
              </w:rPr>
              <w:t>Нақты конфигурация, құрылғылар саны және қолжетімді алмасу тәсілі тіркелген.</w:t>
            </w:r>
          </w:p>
        </w:tc>
      </w:tr>
      <w:tr w14:paraId="683219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321" w:type="pct"/>
            <w:tcMar>
              <w:top w:w="80" w:type="dxa"/>
              <w:left w:w="120" w:type="dxa"/>
              <w:bottom w:w="80" w:type="dxa"/>
              <w:right w:w="120" w:type="dxa"/>
            </w:tcMar>
            <w:vAlign w:val="center"/>
          </w:tcPr>
          <w:p w14:paraId="31D442DD">
            <w:pPr>
              <w:pStyle w:val="166"/>
              <w:spacing w:line="240" w:lineRule="auto"/>
              <w:jc w:val="center"/>
              <w:rPr>
                <w:rFonts w:ascii="Times New Roman" w:hAnsi="Times New Roman" w:cs="Times New Roman"/>
                <w:color w:val="auto"/>
                <w:sz w:val="20"/>
                <w:szCs w:val="20"/>
              </w:rPr>
            </w:pPr>
            <w:r>
              <w:rPr>
                <w:rFonts w:ascii="Times New Roman" w:hAnsi="Times New Roman" w:eastAsia="Calibri" w:cs="Times New Roman"/>
                <w:color w:val="auto"/>
                <w:sz w:val="20"/>
                <w:szCs w:val="20"/>
                <w:lang w:val="kk-KZ" w:eastAsia="kk-KZ"/>
              </w:rPr>
              <w:t>2</w:t>
            </w:r>
          </w:p>
        </w:tc>
        <w:tc>
          <w:tcPr>
            <w:tcW w:w="810" w:type="pct"/>
            <w:tcMar>
              <w:top w:w="80" w:type="dxa"/>
              <w:left w:w="120" w:type="dxa"/>
              <w:bottom w:w="80" w:type="dxa"/>
              <w:right w:w="120" w:type="dxa"/>
            </w:tcMar>
            <w:vAlign w:val="center"/>
          </w:tcPr>
          <w:p w14:paraId="3715F69F">
            <w:pPr>
              <w:pStyle w:val="166"/>
              <w:spacing w:line="240" w:lineRule="auto"/>
              <w:rPr>
                <w:rFonts w:ascii="Times New Roman" w:hAnsi="Times New Roman" w:cs="Times New Roman"/>
                <w:color w:val="auto"/>
                <w:sz w:val="20"/>
                <w:szCs w:val="20"/>
              </w:rPr>
            </w:pPr>
            <w:r>
              <w:rPr>
                <w:rFonts w:ascii="Times New Roman" w:hAnsi="Times New Roman" w:eastAsia="Calibri" w:cs="Times New Roman"/>
                <w:color w:val="auto"/>
                <w:sz w:val="20"/>
                <w:szCs w:val="20"/>
                <w:lang w:val="kk-KZ" w:eastAsia="kk-KZ"/>
              </w:rPr>
              <w:t>АБК-ны қосу</w:t>
            </w:r>
          </w:p>
        </w:tc>
        <w:tc>
          <w:tcPr>
            <w:tcW w:w="3868" w:type="pct"/>
            <w:tcMar>
              <w:top w:w="80" w:type="dxa"/>
              <w:left w:w="120" w:type="dxa"/>
              <w:bottom w:w="80" w:type="dxa"/>
              <w:right w:w="120" w:type="dxa"/>
            </w:tcMar>
            <w:vAlign w:val="center"/>
          </w:tcPr>
          <w:p w14:paraId="60A2FF89">
            <w:pPr>
              <w:pStyle w:val="166"/>
              <w:spacing w:line="240" w:lineRule="auto"/>
              <w:rPr>
                <w:rFonts w:ascii="Times New Roman" w:hAnsi="Times New Roman" w:cs="Times New Roman"/>
                <w:color w:val="auto"/>
                <w:sz w:val="20"/>
                <w:szCs w:val="20"/>
              </w:rPr>
            </w:pPr>
            <w:r>
              <w:rPr>
                <w:rFonts w:ascii="Times New Roman" w:hAnsi="Times New Roman" w:eastAsia="Calibri" w:cs="Times New Roman"/>
                <w:color w:val="auto"/>
                <w:sz w:val="20"/>
                <w:szCs w:val="20"/>
                <w:lang w:val="kk-KZ" w:eastAsia="kk-KZ"/>
              </w:rPr>
              <w:t>Жабдық ауыстырылмай бұлттық платформаға қосылған; бақылау оқиғасы жүйеде қабылданған.</w:t>
            </w:r>
          </w:p>
        </w:tc>
      </w:tr>
      <w:tr w14:paraId="052EB6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321" w:type="pct"/>
            <w:tcMar>
              <w:top w:w="80" w:type="dxa"/>
              <w:left w:w="120" w:type="dxa"/>
              <w:bottom w:w="80" w:type="dxa"/>
              <w:right w:w="120" w:type="dxa"/>
            </w:tcMar>
            <w:vAlign w:val="center"/>
          </w:tcPr>
          <w:p w14:paraId="6506C264">
            <w:pPr>
              <w:pStyle w:val="166"/>
              <w:spacing w:line="240" w:lineRule="auto"/>
              <w:jc w:val="center"/>
              <w:rPr>
                <w:rFonts w:ascii="Times New Roman" w:hAnsi="Times New Roman" w:cs="Times New Roman"/>
                <w:color w:val="auto"/>
                <w:sz w:val="20"/>
                <w:szCs w:val="20"/>
              </w:rPr>
            </w:pPr>
            <w:r>
              <w:rPr>
                <w:rFonts w:ascii="Times New Roman" w:hAnsi="Times New Roman" w:eastAsia="Calibri" w:cs="Times New Roman"/>
                <w:color w:val="auto"/>
                <w:sz w:val="20"/>
                <w:szCs w:val="20"/>
                <w:lang w:val="kk-KZ" w:eastAsia="kk-KZ"/>
              </w:rPr>
              <w:t>3</w:t>
            </w:r>
          </w:p>
        </w:tc>
        <w:tc>
          <w:tcPr>
            <w:tcW w:w="810" w:type="pct"/>
            <w:tcMar>
              <w:top w:w="80" w:type="dxa"/>
              <w:left w:w="120" w:type="dxa"/>
              <w:bottom w:w="80" w:type="dxa"/>
              <w:right w:w="120" w:type="dxa"/>
            </w:tcMar>
            <w:vAlign w:val="center"/>
          </w:tcPr>
          <w:p w14:paraId="4F5C54F6">
            <w:pPr>
              <w:pStyle w:val="166"/>
              <w:spacing w:line="240" w:lineRule="auto"/>
              <w:rPr>
                <w:rFonts w:ascii="Times New Roman" w:hAnsi="Times New Roman" w:cs="Times New Roman"/>
                <w:color w:val="auto"/>
                <w:sz w:val="20"/>
                <w:szCs w:val="20"/>
              </w:rPr>
            </w:pPr>
            <w:r>
              <w:rPr>
                <w:rFonts w:ascii="Times New Roman" w:hAnsi="Times New Roman" w:eastAsia="Calibri" w:cs="Times New Roman"/>
                <w:color w:val="auto"/>
                <w:sz w:val="20"/>
                <w:szCs w:val="20"/>
                <w:lang w:val="kk-KZ" w:eastAsia="kk-KZ"/>
              </w:rPr>
              <w:t>Лицензияны іске қосу</w:t>
            </w:r>
          </w:p>
        </w:tc>
        <w:tc>
          <w:tcPr>
            <w:tcW w:w="3868" w:type="pct"/>
            <w:tcMar>
              <w:top w:w="80" w:type="dxa"/>
              <w:left w:w="120" w:type="dxa"/>
              <w:bottom w:w="80" w:type="dxa"/>
              <w:right w:w="120" w:type="dxa"/>
            </w:tcMar>
            <w:vAlign w:val="center"/>
          </w:tcPr>
          <w:p w14:paraId="24344B05">
            <w:pPr>
              <w:pStyle w:val="166"/>
              <w:spacing w:line="240" w:lineRule="auto"/>
              <w:rPr>
                <w:rFonts w:ascii="Times New Roman" w:hAnsi="Times New Roman" w:cs="Times New Roman"/>
                <w:color w:val="auto"/>
                <w:sz w:val="20"/>
                <w:szCs w:val="20"/>
              </w:rPr>
            </w:pPr>
            <w:r>
              <w:rPr>
                <w:rFonts w:ascii="Times New Roman" w:hAnsi="Times New Roman" w:eastAsia="Calibri" w:cs="Times New Roman"/>
                <w:color w:val="auto"/>
                <w:sz w:val="20"/>
                <w:szCs w:val="20"/>
                <w:lang w:val="kk-KZ" w:eastAsia="kk-KZ"/>
              </w:rPr>
              <w:t>Тапсырыс беруші үшін 31.12.2026 жылды қоса алғанға дейін қолжетімді бір есептік орта құрылған.</w:t>
            </w:r>
          </w:p>
        </w:tc>
      </w:tr>
      <w:tr w14:paraId="1C83B6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321" w:type="pct"/>
            <w:tcMar>
              <w:top w:w="80" w:type="dxa"/>
              <w:left w:w="120" w:type="dxa"/>
              <w:bottom w:w="80" w:type="dxa"/>
              <w:right w:w="120" w:type="dxa"/>
            </w:tcMar>
            <w:vAlign w:val="center"/>
          </w:tcPr>
          <w:p w14:paraId="6C21716A">
            <w:pPr>
              <w:pStyle w:val="166"/>
              <w:spacing w:line="240" w:lineRule="auto"/>
              <w:jc w:val="center"/>
              <w:rPr>
                <w:rFonts w:ascii="Times New Roman" w:hAnsi="Times New Roman" w:cs="Times New Roman"/>
                <w:color w:val="auto"/>
                <w:sz w:val="20"/>
                <w:szCs w:val="20"/>
              </w:rPr>
            </w:pPr>
            <w:r>
              <w:rPr>
                <w:rFonts w:ascii="Times New Roman" w:hAnsi="Times New Roman" w:eastAsia="Calibri" w:cs="Times New Roman"/>
                <w:color w:val="auto"/>
                <w:sz w:val="20"/>
                <w:szCs w:val="20"/>
                <w:lang w:val="kk-KZ" w:eastAsia="kk-KZ"/>
              </w:rPr>
              <w:t>4</w:t>
            </w:r>
          </w:p>
        </w:tc>
        <w:tc>
          <w:tcPr>
            <w:tcW w:w="810" w:type="pct"/>
            <w:tcMar>
              <w:top w:w="80" w:type="dxa"/>
              <w:left w:w="120" w:type="dxa"/>
              <w:bottom w:w="80" w:type="dxa"/>
              <w:right w:w="120" w:type="dxa"/>
            </w:tcMar>
            <w:vAlign w:val="center"/>
          </w:tcPr>
          <w:p w14:paraId="5A08E66B">
            <w:pPr>
              <w:pStyle w:val="166"/>
              <w:spacing w:line="240" w:lineRule="auto"/>
              <w:rPr>
                <w:rFonts w:ascii="Times New Roman" w:hAnsi="Times New Roman" w:cs="Times New Roman"/>
                <w:color w:val="auto"/>
                <w:sz w:val="20"/>
                <w:szCs w:val="20"/>
              </w:rPr>
            </w:pPr>
            <w:r>
              <w:rPr>
                <w:rFonts w:ascii="Times New Roman" w:hAnsi="Times New Roman" w:eastAsia="Calibri" w:cs="Times New Roman"/>
                <w:color w:val="auto"/>
                <w:sz w:val="20"/>
                <w:szCs w:val="20"/>
                <w:lang w:val="kk-KZ" w:eastAsia="kk-KZ"/>
              </w:rPr>
              <w:t>Өнеркәсіптік алмасу</w:t>
            </w:r>
          </w:p>
        </w:tc>
        <w:tc>
          <w:tcPr>
            <w:tcW w:w="3868" w:type="pct"/>
            <w:tcMar>
              <w:top w:w="80" w:type="dxa"/>
              <w:left w:w="120" w:type="dxa"/>
              <w:bottom w:w="80" w:type="dxa"/>
              <w:right w:w="120" w:type="dxa"/>
            </w:tcMar>
            <w:vAlign w:val="center"/>
          </w:tcPr>
          <w:p w14:paraId="227C7AE7">
            <w:pPr>
              <w:pStyle w:val="166"/>
              <w:spacing w:line="240" w:lineRule="auto"/>
              <w:rPr>
                <w:rFonts w:ascii="Times New Roman" w:hAnsi="Times New Roman" w:cs="Times New Roman"/>
                <w:color w:val="auto"/>
                <w:sz w:val="20"/>
                <w:szCs w:val="20"/>
              </w:rPr>
            </w:pPr>
            <w:r>
              <w:rPr>
                <w:rFonts w:ascii="Times New Roman" w:hAnsi="Times New Roman" w:eastAsia="Calibri" w:cs="Times New Roman"/>
                <w:color w:val="auto"/>
                <w:sz w:val="20"/>
                <w:szCs w:val="20"/>
                <w:lang w:val="kk-KZ" w:eastAsia="kk-KZ"/>
              </w:rPr>
              <w:t>Тамақтануды алу оқиғасы «Әлеуметтік әмиян» АЖ-ға берілген және қайталанбаған.</w:t>
            </w:r>
          </w:p>
        </w:tc>
      </w:tr>
      <w:tr w14:paraId="755D80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321" w:type="pct"/>
            <w:tcMar>
              <w:top w:w="80" w:type="dxa"/>
              <w:left w:w="120" w:type="dxa"/>
              <w:bottom w:w="80" w:type="dxa"/>
              <w:right w:w="120" w:type="dxa"/>
            </w:tcMar>
            <w:vAlign w:val="center"/>
          </w:tcPr>
          <w:p w14:paraId="03F1AAE8">
            <w:pPr>
              <w:pStyle w:val="166"/>
              <w:spacing w:line="240" w:lineRule="auto"/>
              <w:jc w:val="center"/>
              <w:rPr>
                <w:rFonts w:ascii="Times New Roman" w:hAnsi="Times New Roman" w:cs="Times New Roman"/>
                <w:color w:val="auto"/>
                <w:sz w:val="20"/>
                <w:szCs w:val="20"/>
              </w:rPr>
            </w:pPr>
            <w:r>
              <w:rPr>
                <w:rFonts w:ascii="Times New Roman" w:hAnsi="Times New Roman" w:eastAsia="Calibri" w:cs="Times New Roman"/>
                <w:color w:val="auto"/>
                <w:sz w:val="20"/>
                <w:szCs w:val="20"/>
                <w:lang w:val="kk-KZ" w:eastAsia="kk-KZ"/>
              </w:rPr>
              <w:t>5</w:t>
            </w:r>
          </w:p>
        </w:tc>
        <w:tc>
          <w:tcPr>
            <w:tcW w:w="810" w:type="pct"/>
            <w:tcMar>
              <w:top w:w="80" w:type="dxa"/>
              <w:left w:w="120" w:type="dxa"/>
              <w:bottom w:w="80" w:type="dxa"/>
              <w:right w:w="120" w:type="dxa"/>
            </w:tcMar>
            <w:vAlign w:val="center"/>
          </w:tcPr>
          <w:p w14:paraId="69363ABB">
            <w:pPr>
              <w:pStyle w:val="166"/>
              <w:spacing w:line="240" w:lineRule="auto"/>
              <w:rPr>
                <w:rFonts w:ascii="Times New Roman" w:hAnsi="Times New Roman" w:cs="Times New Roman"/>
                <w:color w:val="auto"/>
                <w:sz w:val="20"/>
                <w:szCs w:val="20"/>
              </w:rPr>
            </w:pPr>
            <w:r>
              <w:rPr>
                <w:rFonts w:ascii="Times New Roman" w:hAnsi="Times New Roman" w:eastAsia="Calibri" w:cs="Times New Roman"/>
                <w:color w:val="auto"/>
                <w:sz w:val="20"/>
                <w:szCs w:val="20"/>
                <w:lang w:val="kk-KZ" w:eastAsia="kk-KZ"/>
              </w:rPr>
              <w:t>Цифрлық функционал</w:t>
            </w:r>
          </w:p>
        </w:tc>
        <w:tc>
          <w:tcPr>
            <w:tcW w:w="3868" w:type="pct"/>
            <w:tcMar>
              <w:top w:w="80" w:type="dxa"/>
              <w:left w:w="120" w:type="dxa"/>
              <w:bottom w:w="80" w:type="dxa"/>
              <w:right w:w="120" w:type="dxa"/>
            </w:tcMar>
            <w:vAlign w:val="center"/>
          </w:tcPr>
          <w:p w14:paraId="6077F777">
            <w:pPr>
              <w:pStyle w:val="166"/>
              <w:spacing w:line="240" w:lineRule="auto"/>
              <w:rPr>
                <w:rFonts w:ascii="Times New Roman" w:hAnsi="Times New Roman" w:cs="Times New Roman"/>
                <w:color w:val="auto"/>
                <w:sz w:val="20"/>
                <w:szCs w:val="20"/>
              </w:rPr>
            </w:pPr>
            <w:r>
              <w:rPr>
                <w:rFonts w:ascii="Times New Roman" w:hAnsi="Times New Roman" w:eastAsia="Calibri" w:cs="Times New Roman"/>
                <w:color w:val="auto"/>
                <w:sz w:val="20"/>
                <w:szCs w:val="20"/>
                <w:lang w:val="kk-KZ" w:eastAsia="kk-KZ"/>
              </w:rPr>
              <w:t>Бірыңғай профильдер, тамақтану, сабаққа қатысу, жұмыс уақытын есепке алу, қолжетімділікті бақылау, кітапхана, локерлер, ата-аналар сервистері, есептер мен дашбордтар қолжетімді.</w:t>
            </w:r>
          </w:p>
        </w:tc>
      </w:tr>
      <w:tr w14:paraId="492A78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321" w:type="pct"/>
            <w:tcMar>
              <w:top w:w="80" w:type="dxa"/>
              <w:left w:w="120" w:type="dxa"/>
              <w:bottom w:w="80" w:type="dxa"/>
              <w:right w:w="120" w:type="dxa"/>
            </w:tcMar>
            <w:vAlign w:val="center"/>
          </w:tcPr>
          <w:p w14:paraId="1F21FF07">
            <w:pPr>
              <w:pStyle w:val="166"/>
              <w:spacing w:line="240" w:lineRule="auto"/>
              <w:jc w:val="center"/>
              <w:rPr>
                <w:rFonts w:ascii="Times New Roman" w:hAnsi="Times New Roman" w:cs="Times New Roman"/>
                <w:color w:val="auto"/>
                <w:sz w:val="20"/>
                <w:szCs w:val="20"/>
              </w:rPr>
            </w:pPr>
            <w:r>
              <w:rPr>
                <w:rFonts w:ascii="Times New Roman" w:hAnsi="Times New Roman" w:eastAsia="Calibri" w:cs="Times New Roman"/>
                <w:color w:val="auto"/>
                <w:sz w:val="20"/>
                <w:szCs w:val="20"/>
                <w:lang w:val="kk-KZ" w:eastAsia="kk-KZ"/>
              </w:rPr>
              <w:t>6</w:t>
            </w:r>
          </w:p>
        </w:tc>
        <w:tc>
          <w:tcPr>
            <w:tcW w:w="810" w:type="pct"/>
            <w:tcMar>
              <w:top w:w="80" w:type="dxa"/>
              <w:left w:w="120" w:type="dxa"/>
              <w:bottom w:w="80" w:type="dxa"/>
              <w:right w:w="120" w:type="dxa"/>
            </w:tcMar>
            <w:vAlign w:val="center"/>
          </w:tcPr>
          <w:p w14:paraId="764173F3">
            <w:pPr>
              <w:pStyle w:val="166"/>
              <w:spacing w:line="240" w:lineRule="auto"/>
              <w:rPr>
                <w:rFonts w:ascii="Times New Roman" w:hAnsi="Times New Roman" w:cs="Times New Roman"/>
                <w:color w:val="auto"/>
                <w:sz w:val="20"/>
                <w:szCs w:val="20"/>
              </w:rPr>
            </w:pPr>
            <w:r>
              <w:rPr>
                <w:rFonts w:ascii="Times New Roman" w:hAnsi="Times New Roman" w:eastAsia="Calibri" w:cs="Times New Roman"/>
                <w:color w:val="auto"/>
                <w:sz w:val="20"/>
                <w:szCs w:val="20"/>
                <w:lang w:val="kk-KZ" w:eastAsia="kk-KZ"/>
              </w:rPr>
              <w:t>АБК-ға қызмет көрсету</w:t>
            </w:r>
          </w:p>
        </w:tc>
        <w:tc>
          <w:tcPr>
            <w:tcW w:w="3868" w:type="pct"/>
            <w:tcMar>
              <w:top w:w="80" w:type="dxa"/>
              <w:left w:w="120" w:type="dxa"/>
              <w:bottom w:w="80" w:type="dxa"/>
              <w:right w:w="120" w:type="dxa"/>
            </w:tcMar>
            <w:vAlign w:val="center"/>
          </w:tcPr>
          <w:p w14:paraId="480A2B43">
            <w:pPr>
              <w:pStyle w:val="166"/>
              <w:spacing w:line="240" w:lineRule="auto"/>
              <w:rPr>
                <w:rFonts w:ascii="Times New Roman" w:hAnsi="Times New Roman" w:cs="Times New Roman"/>
                <w:color w:val="auto"/>
                <w:sz w:val="20"/>
                <w:szCs w:val="20"/>
              </w:rPr>
            </w:pPr>
            <w:r>
              <w:rPr>
                <w:rFonts w:ascii="Times New Roman" w:hAnsi="Times New Roman" w:eastAsia="Calibri" w:cs="Times New Roman"/>
                <w:color w:val="auto"/>
                <w:sz w:val="20"/>
                <w:szCs w:val="20"/>
                <w:lang w:val="kk-KZ" w:eastAsia="kk-KZ"/>
              </w:rPr>
              <w:t>Диагностикалау, баптау, жаңарту және бағдарламалық өзара іс-қимылды қалпына келтіру қамтамасыз етілген.</w:t>
            </w:r>
          </w:p>
        </w:tc>
      </w:tr>
      <w:tr w14:paraId="6E9746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321" w:type="pct"/>
            <w:tcMar>
              <w:top w:w="80" w:type="dxa"/>
              <w:left w:w="120" w:type="dxa"/>
              <w:bottom w:w="80" w:type="dxa"/>
              <w:right w:w="120" w:type="dxa"/>
            </w:tcMar>
            <w:vAlign w:val="center"/>
          </w:tcPr>
          <w:p w14:paraId="7D4DE085">
            <w:pPr>
              <w:pStyle w:val="166"/>
              <w:spacing w:line="240" w:lineRule="auto"/>
              <w:jc w:val="center"/>
              <w:rPr>
                <w:rFonts w:ascii="Times New Roman" w:hAnsi="Times New Roman" w:cs="Times New Roman"/>
                <w:color w:val="auto"/>
                <w:sz w:val="20"/>
                <w:szCs w:val="20"/>
              </w:rPr>
            </w:pPr>
            <w:r>
              <w:rPr>
                <w:rFonts w:ascii="Times New Roman" w:hAnsi="Times New Roman" w:eastAsia="Calibri" w:cs="Times New Roman"/>
                <w:color w:val="auto"/>
                <w:sz w:val="20"/>
                <w:szCs w:val="20"/>
                <w:lang w:val="kk-KZ" w:eastAsia="kk-KZ"/>
              </w:rPr>
              <w:t>7</w:t>
            </w:r>
          </w:p>
        </w:tc>
        <w:tc>
          <w:tcPr>
            <w:tcW w:w="810" w:type="pct"/>
            <w:tcMar>
              <w:top w:w="80" w:type="dxa"/>
              <w:left w:w="120" w:type="dxa"/>
              <w:bottom w:w="80" w:type="dxa"/>
              <w:right w:w="120" w:type="dxa"/>
            </w:tcMar>
            <w:vAlign w:val="center"/>
          </w:tcPr>
          <w:p w14:paraId="2FAB4A2D">
            <w:pPr>
              <w:pStyle w:val="166"/>
              <w:spacing w:line="240" w:lineRule="auto"/>
              <w:rPr>
                <w:rFonts w:ascii="Times New Roman" w:hAnsi="Times New Roman" w:cs="Times New Roman"/>
                <w:color w:val="auto"/>
                <w:sz w:val="20"/>
                <w:szCs w:val="20"/>
              </w:rPr>
            </w:pPr>
            <w:r>
              <w:rPr>
                <w:rFonts w:ascii="Times New Roman" w:hAnsi="Times New Roman" w:eastAsia="Calibri" w:cs="Times New Roman"/>
                <w:color w:val="auto"/>
                <w:sz w:val="20"/>
                <w:szCs w:val="20"/>
                <w:lang w:val="kk-KZ" w:eastAsia="kk-KZ"/>
              </w:rPr>
              <w:t>Қолдау</w:t>
            </w:r>
          </w:p>
        </w:tc>
        <w:tc>
          <w:tcPr>
            <w:tcW w:w="3868" w:type="pct"/>
            <w:tcMar>
              <w:top w:w="80" w:type="dxa"/>
              <w:left w:w="120" w:type="dxa"/>
              <w:bottom w:w="80" w:type="dxa"/>
              <w:right w:w="120" w:type="dxa"/>
            </w:tcMar>
            <w:vAlign w:val="center"/>
          </w:tcPr>
          <w:p w14:paraId="59495D90">
            <w:pPr>
              <w:pStyle w:val="166"/>
              <w:spacing w:line="240" w:lineRule="auto"/>
              <w:rPr>
                <w:rFonts w:ascii="Times New Roman" w:hAnsi="Times New Roman" w:cs="Times New Roman"/>
                <w:color w:val="auto"/>
                <w:sz w:val="20"/>
                <w:szCs w:val="20"/>
              </w:rPr>
            </w:pPr>
            <w:r>
              <w:rPr>
                <w:rFonts w:ascii="Times New Roman" w:hAnsi="Times New Roman" w:eastAsia="Calibri" w:cs="Times New Roman"/>
                <w:color w:val="auto"/>
                <w:sz w:val="20"/>
                <w:szCs w:val="20"/>
                <w:lang w:val="kk-KZ" w:eastAsia="kk-KZ"/>
              </w:rPr>
              <w:t>Өтініш беру арналары белсенді; қашықтан көмек көрсету және бару SLA шегінде орындалады.</w:t>
            </w:r>
          </w:p>
        </w:tc>
      </w:tr>
      <w:tr w14:paraId="1E6BE7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321" w:type="pct"/>
            <w:tcMar>
              <w:top w:w="80" w:type="dxa"/>
              <w:left w:w="120" w:type="dxa"/>
              <w:bottom w:w="80" w:type="dxa"/>
              <w:right w:w="120" w:type="dxa"/>
            </w:tcMar>
            <w:vAlign w:val="center"/>
          </w:tcPr>
          <w:p w14:paraId="3C78EA54">
            <w:pPr>
              <w:pStyle w:val="166"/>
              <w:spacing w:line="240" w:lineRule="auto"/>
              <w:jc w:val="center"/>
              <w:rPr>
                <w:rFonts w:ascii="Times New Roman" w:hAnsi="Times New Roman" w:cs="Times New Roman"/>
                <w:color w:val="auto"/>
                <w:sz w:val="20"/>
                <w:szCs w:val="20"/>
              </w:rPr>
            </w:pPr>
            <w:r>
              <w:rPr>
                <w:rFonts w:ascii="Times New Roman" w:hAnsi="Times New Roman" w:eastAsia="Calibri" w:cs="Times New Roman"/>
                <w:color w:val="auto"/>
                <w:sz w:val="20"/>
                <w:szCs w:val="20"/>
                <w:lang w:val="kk-KZ" w:eastAsia="kk-KZ"/>
              </w:rPr>
              <w:t>8</w:t>
            </w:r>
          </w:p>
        </w:tc>
        <w:tc>
          <w:tcPr>
            <w:tcW w:w="810" w:type="pct"/>
            <w:tcMar>
              <w:top w:w="80" w:type="dxa"/>
              <w:left w:w="120" w:type="dxa"/>
              <w:bottom w:w="80" w:type="dxa"/>
              <w:right w:w="120" w:type="dxa"/>
            </w:tcMar>
            <w:vAlign w:val="center"/>
          </w:tcPr>
          <w:p w14:paraId="05C27129">
            <w:pPr>
              <w:pStyle w:val="166"/>
              <w:spacing w:line="240" w:lineRule="auto"/>
              <w:rPr>
                <w:rFonts w:ascii="Times New Roman" w:hAnsi="Times New Roman" w:cs="Times New Roman"/>
                <w:color w:val="auto"/>
                <w:sz w:val="20"/>
                <w:szCs w:val="20"/>
              </w:rPr>
            </w:pPr>
            <w:r>
              <w:rPr>
                <w:rFonts w:ascii="Times New Roman" w:hAnsi="Times New Roman" w:eastAsia="Calibri" w:cs="Times New Roman"/>
                <w:color w:val="auto"/>
                <w:sz w:val="20"/>
                <w:szCs w:val="20"/>
                <w:lang w:val="kk-KZ" w:eastAsia="kk-KZ"/>
              </w:rPr>
              <w:t>Құжаттар</w:t>
            </w:r>
          </w:p>
        </w:tc>
        <w:tc>
          <w:tcPr>
            <w:tcW w:w="3868" w:type="pct"/>
            <w:tcMar>
              <w:top w:w="80" w:type="dxa"/>
              <w:left w:w="120" w:type="dxa"/>
              <w:bottom w:w="80" w:type="dxa"/>
              <w:right w:w="120" w:type="dxa"/>
            </w:tcMar>
            <w:vAlign w:val="center"/>
          </w:tcPr>
          <w:p w14:paraId="0F7BE0CE">
            <w:pPr>
              <w:pStyle w:val="166"/>
              <w:spacing w:line="240" w:lineRule="auto"/>
              <w:rPr>
                <w:rFonts w:ascii="Times New Roman" w:hAnsi="Times New Roman" w:cs="Times New Roman"/>
                <w:color w:val="auto"/>
                <w:sz w:val="20"/>
                <w:szCs w:val="20"/>
              </w:rPr>
            </w:pPr>
            <w:r>
              <w:rPr>
                <w:rFonts w:ascii="Times New Roman" w:hAnsi="Times New Roman" w:eastAsia="Calibri" w:cs="Times New Roman"/>
                <w:color w:val="auto"/>
                <w:sz w:val="20"/>
                <w:szCs w:val="20"/>
                <w:lang w:val="kk-KZ" w:eastAsia="kk-KZ"/>
              </w:rPr>
              <w:t>Интеграцияны, лицензияны, қауіпсіздікті, өкілеттіктерді және сүйемелдеудің басталуын растайтын құжаттар берілген.</w:t>
            </w:r>
          </w:p>
        </w:tc>
      </w:tr>
    </w:tbl>
    <w:p w14:paraId="2C8C8C22">
      <w:pPr>
        <w:spacing w:after="0" w:line="240" w:lineRule="auto"/>
        <w:jc w:val="both"/>
        <w:rPr>
          <w:rFonts w:ascii="Times New Roman" w:hAnsi="Times New Roman" w:cs="Times New Roman"/>
          <w:color w:val="auto"/>
          <w:sz w:val="20"/>
          <w:szCs w:val="20"/>
        </w:rPr>
      </w:pPr>
      <w:r>
        <w:rPr>
          <w:rFonts w:ascii="Times New Roman" w:hAnsi="Times New Roman" w:cs="Times New Roman"/>
          <w:color w:val="auto"/>
          <w:sz w:val="20"/>
          <w:szCs w:val="20"/>
          <w:lang w:val="kk-KZ" w:eastAsia="kk-KZ"/>
        </w:rPr>
        <w:t>2.2. Өнім беруші қажетті техникалық шешімдерді дербес айқындайды және осы ерекшелікте көзделген нәтижеге қол жеткізуге қажетті барлық бағдарламалық құрамдас бөліктерді, интерфейстерді баптауды, баруды, қашықтан орындалатын жұмыстарды, жаңартуларды және өзге де шығыстарды бағаға енгізеді.</w:t>
      </w:r>
    </w:p>
    <w:p w14:paraId="26E8D217">
      <w:pPr>
        <w:pStyle w:val="2"/>
        <w:spacing w:before="0" w:after="0"/>
        <w:rPr>
          <w:rFonts w:ascii="Times New Roman" w:hAnsi="Times New Roman" w:eastAsia="Calibri" w:cs="Times New Roman"/>
          <w:color w:val="auto"/>
          <w:sz w:val="20"/>
          <w:szCs w:val="20"/>
        </w:rPr>
      </w:pPr>
    </w:p>
    <w:p w14:paraId="4CD078BF">
      <w:pPr>
        <w:pStyle w:val="2"/>
        <w:spacing w:before="0" w:after="0"/>
        <w:jc w:val="center"/>
        <w:rPr>
          <w:rFonts w:ascii="Times New Roman" w:hAnsi="Times New Roman" w:cs="Times New Roman"/>
          <w:color w:val="auto"/>
          <w:sz w:val="20"/>
          <w:szCs w:val="20"/>
        </w:rPr>
      </w:pPr>
      <w:r>
        <w:rPr>
          <w:rFonts w:ascii="Times New Roman" w:hAnsi="Times New Roman" w:eastAsia="Calibri" w:cs="Times New Roman"/>
          <w:color w:val="auto"/>
          <w:sz w:val="20"/>
          <w:szCs w:val="20"/>
          <w:lang w:val="kk-KZ" w:eastAsia="kk-KZ"/>
        </w:rPr>
        <w:t>3. Қолданыстағы АБК-ны қосу тәртібі</w:t>
      </w:r>
    </w:p>
    <w:p w14:paraId="74B520A8">
      <w:pPr>
        <w:spacing w:after="0" w:line="240" w:lineRule="auto"/>
        <w:jc w:val="both"/>
        <w:rPr>
          <w:rFonts w:ascii="Times New Roman" w:hAnsi="Times New Roman" w:cs="Times New Roman"/>
          <w:color w:val="auto"/>
          <w:sz w:val="20"/>
          <w:szCs w:val="20"/>
        </w:rPr>
      </w:pPr>
      <w:r>
        <w:rPr>
          <w:rFonts w:ascii="Times New Roman" w:hAnsi="Times New Roman" w:cs="Times New Roman"/>
          <w:color w:val="auto"/>
          <w:sz w:val="20"/>
          <w:szCs w:val="20"/>
          <w:lang w:val="kk-KZ" w:eastAsia="kk-KZ"/>
        </w:rPr>
        <w:t>3.1. Баптауды бастамас бұрын Өнім беруші орнатылған АБК-ны тексереді және құрылғылардың санын, олардың жұмысқа қабілеттілігін, ақпараттық өзара іс-қимылдың қолжетімді тәсілін және тамақтануды есепке алуға қажетті деректер құрамын тіркейді.</w:t>
      </w:r>
    </w:p>
    <w:p w14:paraId="63B2D519">
      <w:pPr>
        <w:spacing w:after="0" w:line="240" w:lineRule="auto"/>
        <w:jc w:val="both"/>
        <w:rPr>
          <w:rFonts w:ascii="Times New Roman" w:hAnsi="Times New Roman" w:cs="Times New Roman"/>
          <w:color w:val="auto"/>
          <w:sz w:val="20"/>
          <w:szCs w:val="20"/>
          <w:lang w:val="kk-KZ"/>
        </w:rPr>
      </w:pPr>
      <w:r>
        <w:rPr>
          <w:rFonts w:ascii="Times New Roman" w:hAnsi="Times New Roman" w:cs="Times New Roman"/>
          <w:color w:val="auto"/>
          <w:sz w:val="20"/>
          <w:szCs w:val="20"/>
          <w:lang w:val="kk-KZ" w:eastAsia="kk-KZ"/>
        </w:rPr>
        <w:t>3.2. Қосу API, бағдарламалық шлюз, агент, адаптер немесе өзге де жол берілетін тәсіл арқылы орындалады. Өзара іс-қимыл тетігін таңдау Өнім берушінің жауапкершілігіне жатады және Тапсырыс беруші үшін қосымша шығыстар туғызбайды.</w:t>
      </w:r>
    </w:p>
    <w:p w14:paraId="5EA61AE3">
      <w:pPr>
        <w:spacing w:after="0" w:line="240" w:lineRule="auto"/>
        <w:jc w:val="both"/>
        <w:rPr>
          <w:rFonts w:ascii="Times New Roman" w:hAnsi="Times New Roman" w:cs="Times New Roman"/>
          <w:color w:val="auto"/>
          <w:sz w:val="20"/>
          <w:szCs w:val="20"/>
          <w:lang w:val="kk-KZ"/>
        </w:rPr>
      </w:pPr>
      <w:r>
        <w:rPr>
          <w:rFonts w:ascii="Times New Roman" w:hAnsi="Times New Roman" w:cs="Times New Roman"/>
          <w:color w:val="auto"/>
          <w:sz w:val="20"/>
          <w:szCs w:val="20"/>
          <w:lang w:val="kk-KZ" w:eastAsia="kk-KZ"/>
        </w:rPr>
        <w:t>3.3. Бұлттық платформаға пайдаланушының бірегей сәйкестендіргіші, ЖСН және қажетті есептік мәліметтері, ұйым мен жабдықтың сәйкестендіргіштері, операцияның күні мен уақыты, сондай-ақ тегін тамақтануды алу туралы расталған оқиға беріледі.</w:t>
      </w:r>
    </w:p>
    <w:p w14:paraId="25626B81">
      <w:pPr>
        <w:spacing w:after="0" w:line="240" w:lineRule="auto"/>
        <w:jc w:val="both"/>
        <w:rPr>
          <w:rFonts w:ascii="Times New Roman" w:hAnsi="Times New Roman" w:cs="Times New Roman"/>
          <w:color w:val="auto"/>
          <w:sz w:val="20"/>
          <w:szCs w:val="20"/>
          <w:lang w:val="kk-KZ"/>
        </w:rPr>
      </w:pPr>
      <w:r>
        <w:rPr>
          <w:rFonts w:ascii="Times New Roman" w:hAnsi="Times New Roman" w:cs="Times New Roman"/>
          <w:color w:val="auto"/>
          <w:sz w:val="20"/>
          <w:szCs w:val="20"/>
          <w:lang w:val="kk-KZ" w:eastAsia="kk-KZ"/>
        </w:rPr>
        <w:t>3.4. Интеграциялық алмасу сәйкестендіру нәтижесін пайдалануға тиіс. Қолданыстағы процесс мұндай берусіз қамтамасыз етілуі мүмкін болса, бастапқы кескіндер мен биометриялық үлгілер берілмейді.</w:t>
      </w:r>
    </w:p>
    <w:p w14:paraId="4BC30310">
      <w:pPr>
        <w:spacing w:after="0" w:line="240" w:lineRule="auto"/>
        <w:jc w:val="both"/>
        <w:rPr>
          <w:rFonts w:ascii="Times New Roman" w:hAnsi="Times New Roman" w:cs="Times New Roman"/>
          <w:color w:val="auto"/>
          <w:sz w:val="20"/>
          <w:szCs w:val="20"/>
          <w:lang w:val="kk-KZ"/>
        </w:rPr>
      </w:pPr>
      <w:r>
        <w:rPr>
          <w:rFonts w:ascii="Times New Roman" w:hAnsi="Times New Roman" w:cs="Times New Roman"/>
          <w:color w:val="auto"/>
          <w:sz w:val="20"/>
          <w:szCs w:val="20"/>
          <w:lang w:val="kk-KZ" w:eastAsia="kk-KZ"/>
        </w:rPr>
        <w:t>3.5. Қосу кезінде қолданыстағы АБК-ның баптаулары мен жұмысқа қабілеттілігі сақталады. Өнім беруші есептік деректердің жоғалуына, қайталанатын оқиғалардың пайда болуына және пайдаланушыларды қайта байланыстыру қажеттілігіне жол бермеуге міндетті.</w:t>
      </w:r>
    </w:p>
    <w:p w14:paraId="1359566E">
      <w:pPr>
        <w:spacing w:after="0" w:line="240" w:lineRule="auto"/>
        <w:jc w:val="both"/>
        <w:rPr>
          <w:rFonts w:ascii="Times New Roman" w:hAnsi="Times New Roman" w:cs="Times New Roman"/>
          <w:color w:val="auto"/>
          <w:sz w:val="20"/>
          <w:szCs w:val="20"/>
          <w:lang w:val="kk-KZ"/>
        </w:rPr>
      </w:pPr>
      <w:r>
        <w:rPr>
          <w:rFonts w:ascii="Times New Roman" w:hAnsi="Times New Roman" w:cs="Times New Roman"/>
          <w:color w:val="auto"/>
          <w:sz w:val="20"/>
          <w:szCs w:val="20"/>
          <w:lang w:val="kk-KZ" w:eastAsia="kk-KZ"/>
        </w:rPr>
        <w:t>3.6. Тексеру, қосу, қолжетімділікті іске қосу және бақылау алмасуы шарт күшіне енген күннен бастап 10 жұмыс күнінен кешіктірілмей аяқталуға тиіс.</w:t>
      </w:r>
    </w:p>
    <w:p w14:paraId="655576BA">
      <w:pPr>
        <w:spacing w:after="0" w:line="240" w:lineRule="auto"/>
        <w:jc w:val="both"/>
        <w:rPr>
          <w:rFonts w:ascii="Times New Roman" w:hAnsi="Times New Roman" w:cs="Times New Roman"/>
          <w:color w:val="auto"/>
          <w:sz w:val="20"/>
          <w:szCs w:val="20"/>
          <w:lang w:val="kk-KZ"/>
        </w:rPr>
      </w:pPr>
    </w:p>
    <w:p w14:paraId="1AB8A353">
      <w:pPr>
        <w:pStyle w:val="2"/>
        <w:spacing w:before="0" w:after="0"/>
        <w:jc w:val="center"/>
        <w:rPr>
          <w:rFonts w:ascii="Times New Roman" w:hAnsi="Times New Roman" w:cs="Times New Roman"/>
          <w:color w:val="auto"/>
          <w:sz w:val="20"/>
          <w:szCs w:val="20"/>
          <w:lang w:val="kk-KZ"/>
        </w:rPr>
      </w:pPr>
      <w:r>
        <w:rPr>
          <w:rFonts w:ascii="Times New Roman" w:hAnsi="Times New Roman" w:eastAsia="Calibri" w:cs="Times New Roman"/>
          <w:color w:val="auto"/>
          <w:sz w:val="20"/>
          <w:szCs w:val="20"/>
          <w:lang w:val="kk-KZ" w:eastAsia="kk-KZ"/>
        </w:rPr>
        <w:t>4. Цифрлық платформаның міндетті мүмкіндіктері</w:t>
      </w:r>
    </w:p>
    <w:p w14:paraId="385E7441">
      <w:pPr>
        <w:spacing w:after="0" w:line="240" w:lineRule="auto"/>
        <w:jc w:val="both"/>
        <w:rPr>
          <w:rFonts w:ascii="Times New Roman" w:hAnsi="Times New Roman" w:cs="Times New Roman"/>
          <w:color w:val="auto"/>
          <w:sz w:val="20"/>
          <w:szCs w:val="20"/>
          <w:lang w:val="kk-KZ"/>
        </w:rPr>
      </w:pPr>
      <w:r>
        <w:rPr>
          <w:rFonts w:ascii="Times New Roman" w:hAnsi="Times New Roman" w:cs="Times New Roman"/>
          <w:color w:val="auto"/>
          <w:sz w:val="20"/>
          <w:szCs w:val="20"/>
          <w:lang w:val="kk-KZ" w:eastAsia="kk-KZ"/>
        </w:rPr>
        <w:t>4.1. Платформа пайдаланушылардың бірыңғай профильдерін, құқықтарды ажыратуды, қосылған АБК-дан оқиғаларды қабылдауды, тегін тамақтануды есепке алуды, әкімшілік кабинетті, есептерді, талдауды, әрекеттер журналдарын, құрылғылар мониторингін және деректерді жүктеп алуды қолдауға тиіс. Қолданыстағы нұсқа шеңберінде Тапсырыс берушіге білім алушылардың сабаққа қатысуын, қолжетімділікті бақылауды, жұмыс уақытын, кітапхана қорын, ақылды локерлерді есепке алу, ата-аналармен өзара іс-қимыл және басқарушылық дашбордтар модульдеріне де қолжетімділік беріледі.</w:t>
      </w:r>
    </w:p>
    <w:p w14:paraId="1A9EB7EF">
      <w:pPr>
        <w:spacing w:after="0" w:line="240" w:lineRule="auto"/>
        <w:jc w:val="both"/>
        <w:rPr>
          <w:rFonts w:ascii="Times New Roman" w:hAnsi="Times New Roman" w:cs="Times New Roman"/>
          <w:color w:val="auto"/>
          <w:sz w:val="20"/>
          <w:szCs w:val="20"/>
          <w:lang w:val="kk-KZ"/>
        </w:rPr>
      </w:pPr>
      <w:r>
        <w:rPr>
          <w:rFonts w:ascii="Times New Roman" w:hAnsi="Times New Roman" w:cs="Times New Roman"/>
          <w:color w:val="auto"/>
          <w:sz w:val="20"/>
          <w:szCs w:val="20"/>
          <w:lang w:val="kk-KZ" w:eastAsia="kk-KZ"/>
        </w:rPr>
        <w:t>4.2. Аталған модульдердің болуы Өнім берушіге қосымша жабдық жеткізу міндетін жүктемейді, бірақ Тапсырыс берушіге платформаны ауыстырмай және профильдерді қайта құрмай пайдалану сценарийлерін кеңейтуге мүмкіндік беруге тиіс. Жаңартулар интеграцияның жұмысын нашарлатпауға немесе міндетті функционалды қысқартпауға тиіс.</w:t>
      </w:r>
    </w:p>
    <w:p w14:paraId="560308E4">
      <w:pPr>
        <w:pStyle w:val="165"/>
        <w:keepLines/>
        <w:spacing w:before="0" w:after="0" w:line="240" w:lineRule="auto"/>
        <w:ind w:left="426" w:right="180"/>
        <w:jc w:val="both"/>
        <w:rPr>
          <w:rFonts w:ascii="Times New Roman" w:hAnsi="Times New Roman" w:cs="Times New Roman"/>
          <w:i/>
          <w:iCs/>
          <w:sz w:val="20"/>
          <w:szCs w:val="20"/>
          <w:lang w:val="kk-KZ"/>
        </w:rPr>
      </w:pPr>
      <w:r>
        <w:rPr>
          <w:rFonts w:ascii="Times New Roman" w:hAnsi="Times New Roman" w:eastAsia="Calibri" w:cs="Times New Roman"/>
          <w:b/>
          <w:bCs/>
          <w:i/>
          <w:iCs/>
          <w:sz w:val="20"/>
          <w:szCs w:val="20"/>
          <w:lang w:val="kk-KZ" w:eastAsia="kk-KZ"/>
        </w:rPr>
        <w:t>Платформаның дайындық өлшемшарты.</w:t>
      </w:r>
      <w:r>
        <w:rPr>
          <w:rFonts w:ascii="Times New Roman" w:hAnsi="Times New Roman" w:eastAsia="Calibri" w:cs="Times New Roman"/>
          <w:i/>
          <w:iCs/>
          <w:sz w:val="20"/>
          <w:szCs w:val="20"/>
          <w:lang w:val="kk-KZ" w:eastAsia="kk-KZ"/>
        </w:rPr>
        <w:t xml:space="preserve"> Бағдарламалық қамтамасыз ету іске қосылған күні өнеркәсіптік пайдалануға жарамды болуға және шарт жасалғаннан кейін жаңа интеграция әзірлемей-ақ «Әлеуметтік әмиян» АЖ-мен қолданыстағы алмасуды қамтамасыз етуге тиіс.</w:t>
      </w:r>
    </w:p>
    <w:p w14:paraId="4D78EE17">
      <w:pPr>
        <w:spacing w:after="0" w:line="240" w:lineRule="auto"/>
        <w:jc w:val="both"/>
        <w:rPr>
          <w:rFonts w:ascii="Times New Roman" w:hAnsi="Times New Roman" w:cs="Times New Roman"/>
          <w:color w:val="auto"/>
          <w:sz w:val="20"/>
          <w:szCs w:val="20"/>
          <w:lang w:val="kk-KZ"/>
        </w:rPr>
      </w:pPr>
      <w:r>
        <w:rPr>
          <w:rFonts w:ascii="Times New Roman" w:hAnsi="Times New Roman" w:cs="Times New Roman"/>
          <w:color w:val="auto"/>
          <w:sz w:val="20"/>
          <w:szCs w:val="20"/>
          <w:lang w:val="kk-KZ" w:eastAsia="kk-KZ"/>
        </w:rPr>
        <w:t>4.3. Ұсынылатын бағдарламалық өнімнің ақпараттық қауіпсіздігі оң нәтижелері бар мынадай хаттамалармен расталады:</w:t>
      </w:r>
    </w:p>
    <w:p w14:paraId="3352CB56">
      <w:pPr>
        <w:pStyle w:val="22"/>
        <w:numPr>
          <w:ilvl w:val="0"/>
          <w:numId w:val="2"/>
        </w:numPr>
        <w:spacing w:after="0" w:line="240" w:lineRule="auto"/>
        <w:jc w:val="both"/>
        <w:rPr>
          <w:rFonts w:ascii="Times New Roman" w:hAnsi="Times New Roman" w:cs="Times New Roman"/>
          <w:color w:val="auto"/>
          <w:sz w:val="20"/>
          <w:szCs w:val="20"/>
        </w:rPr>
      </w:pPr>
      <w:r>
        <w:rPr>
          <w:rFonts w:ascii="Times New Roman" w:hAnsi="Times New Roman" w:cs="Times New Roman"/>
          <w:color w:val="auto"/>
          <w:sz w:val="20"/>
          <w:szCs w:val="20"/>
          <w:lang w:val="kk-KZ" w:eastAsia="kk-KZ"/>
        </w:rPr>
        <w:t>бастапқы кодтарды талдау;</w:t>
      </w:r>
    </w:p>
    <w:p w14:paraId="0A4F7A10">
      <w:pPr>
        <w:numPr>
          <w:ilvl w:val="0"/>
          <w:numId w:val="1"/>
        </w:numPr>
        <w:spacing w:after="0" w:line="240" w:lineRule="auto"/>
        <w:jc w:val="both"/>
        <w:rPr>
          <w:rFonts w:ascii="Times New Roman" w:hAnsi="Times New Roman" w:cs="Times New Roman"/>
          <w:color w:val="auto"/>
          <w:sz w:val="20"/>
          <w:szCs w:val="20"/>
        </w:rPr>
      </w:pPr>
      <w:r>
        <w:rPr>
          <w:rFonts w:ascii="Times New Roman" w:hAnsi="Times New Roman" w:cs="Times New Roman"/>
          <w:color w:val="auto"/>
          <w:sz w:val="20"/>
          <w:szCs w:val="20"/>
          <w:lang w:val="kk-KZ" w:eastAsia="kk-KZ"/>
        </w:rPr>
        <w:t>ақпараттық қауіпсіздік функцияларын сынау;</w:t>
      </w:r>
    </w:p>
    <w:p w14:paraId="260A66CB">
      <w:pPr>
        <w:numPr>
          <w:ilvl w:val="0"/>
          <w:numId w:val="1"/>
        </w:numPr>
        <w:spacing w:after="0" w:line="240" w:lineRule="auto"/>
        <w:jc w:val="both"/>
        <w:rPr>
          <w:rFonts w:ascii="Times New Roman" w:hAnsi="Times New Roman" w:cs="Times New Roman"/>
          <w:color w:val="auto"/>
          <w:sz w:val="20"/>
          <w:szCs w:val="20"/>
        </w:rPr>
      </w:pPr>
      <w:r>
        <w:rPr>
          <w:rFonts w:ascii="Times New Roman" w:hAnsi="Times New Roman" w:cs="Times New Roman"/>
          <w:color w:val="auto"/>
          <w:sz w:val="20"/>
          <w:szCs w:val="20"/>
          <w:lang w:val="kk-KZ" w:eastAsia="kk-KZ"/>
        </w:rPr>
        <w:t>жүктемелік сынақ;</w:t>
      </w:r>
    </w:p>
    <w:p w14:paraId="78164F50">
      <w:pPr>
        <w:numPr>
          <w:ilvl w:val="0"/>
          <w:numId w:val="1"/>
        </w:numPr>
        <w:spacing w:after="0" w:line="240" w:lineRule="auto"/>
        <w:jc w:val="both"/>
        <w:rPr>
          <w:rFonts w:ascii="Times New Roman" w:hAnsi="Times New Roman" w:cs="Times New Roman"/>
          <w:color w:val="auto"/>
          <w:sz w:val="20"/>
          <w:szCs w:val="20"/>
        </w:rPr>
      </w:pPr>
      <w:r>
        <w:rPr>
          <w:rFonts w:ascii="Times New Roman" w:hAnsi="Times New Roman" w:cs="Times New Roman"/>
          <w:color w:val="auto"/>
          <w:sz w:val="20"/>
          <w:szCs w:val="20"/>
          <w:lang w:val="kk-KZ" w:eastAsia="kk-KZ"/>
        </w:rPr>
        <w:t>ақпараттық қауіпсіздікті қамтамасыз ету процестерін тексеру;</w:t>
      </w:r>
    </w:p>
    <w:p w14:paraId="0AED9A8A">
      <w:pPr>
        <w:numPr>
          <w:ilvl w:val="0"/>
          <w:numId w:val="1"/>
        </w:numPr>
        <w:spacing w:after="0" w:line="240" w:lineRule="auto"/>
        <w:jc w:val="both"/>
        <w:rPr>
          <w:rFonts w:ascii="Times New Roman" w:hAnsi="Times New Roman" w:cs="Times New Roman"/>
          <w:color w:val="auto"/>
          <w:sz w:val="20"/>
          <w:szCs w:val="20"/>
        </w:rPr>
      </w:pPr>
      <w:r>
        <w:rPr>
          <w:rFonts w:ascii="Times New Roman" w:hAnsi="Times New Roman" w:cs="Times New Roman"/>
          <w:color w:val="auto"/>
          <w:sz w:val="20"/>
          <w:szCs w:val="20"/>
          <w:lang w:val="kk-KZ" w:eastAsia="kk-KZ"/>
        </w:rPr>
        <w:t>желілік инфрақұрылымды тексеру.</w:t>
      </w:r>
    </w:p>
    <w:p w14:paraId="584E57F4">
      <w:pPr>
        <w:spacing w:after="0" w:line="240" w:lineRule="auto"/>
        <w:jc w:val="both"/>
        <w:rPr>
          <w:rFonts w:ascii="Times New Roman" w:hAnsi="Times New Roman" w:cs="Times New Roman"/>
          <w:color w:val="auto"/>
          <w:sz w:val="20"/>
          <w:szCs w:val="20"/>
          <w:lang w:val="kk-KZ"/>
        </w:rPr>
      </w:pPr>
      <w:r>
        <w:rPr>
          <w:rFonts w:ascii="Times New Roman" w:hAnsi="Times New Roman" w:cs="Times New Roman"/>
          <w:color w:val="auto"/>
          <w:sz w:val="20"/>
          <w:szCs w:val="20"/>
          <w:lang w:val="kk-KZ" w:eastAsia="kk-KZ"/>
        </w:rPr>
        <w:t>Ұсынылатын бағдарламалық қамтамасыз ету Сенім білдірілген бағдарламалық қамтылым және электрондық өнеркәсіп өнімдерінің тізіліміне енгізілуге тиіс. Тізілімнен үзінді көшірме, хаттамалар және «Әлеуметтік әмиян» АЖ-мен қолданыстағы интеграцияны растау шартты орындау кезінде Тапсырыс берушіге беріледі және платформаның іс жүзінде іске қосылатын нұсқасына қатысты болуға тиіс.</w:t>
      </w:r>
    </w:p>
    <w:p w14:paraId="509111D8">
      <w:pPr>
        <w:spacing w:after="0" w:line="240" w:lineRule="auto"/>
        <w:jc w:val="both"/>
        <w:rPr>
          <w:rFonts w:ascii="Times New Roman" w:hAnsi="Times New Roman" w:cs="Times New Roman"/>
          <w:color w:val="auto"/>
          <w:sz w:val="20"/>
          <w:szCs w:val="20"/>
          <w:lang w:val="kk-KZ"/>
        </w:rPr>
      </w:pPr>
    </w:p>
    <w:p w14:paraId="68665C04">
      <w:pPr>
        <w:pStyle w:val="2"/>
        <w:spacing w:before="0" w:after="0"/>
        <w:jc w:val="center"/>
        <w:rPr>
          <w:rFonts w:ascii="Times New Roman" w:hAnsi="Times New Roman" w:cs="Times New Roman"/>
          <w:color w:val="auto"/>
          <w:sz w:val="20"/>
          <w:szCs w:val="20"/>
          <w:lang w:val="kk-KZ"/>
        </w:rPr>
      </w:pPr>
      <w:r>
        <w:rPr>
          <w:rFonts w:ascii="Times New Roman" w:hAnsi="Times New Roman" w:eastAsia="Calibri" w:cs="Times New Roman"/>
          <w:color w:val="auto"/>
          <w:sz w:val="20"/>
          <w:szCs w:val="20"/>
          <w:lang w:val="kk-KZ" w:eastAsia="kk-KZ"/>
        </w:rPr>
        <w:t>5. Заңдылық кепілдіктері және растаушы құжаттар</w:t>
      </w:r>
    </w:p>
    <w:p w14:paraId="39E4E968">
      <w:pPr>
        <w:spacing w:after="0" w:line="240" w:lineRule="auto"/>
        <w:jc w:val="both"/>
        <w:rPr>
          <w:rFonts w:ascii="Times New Roman" w:hAnsi="Times New Roman" w:cs="Times New Roman"/>
          <w:color w:val="auto"/>
          <w:sz w:val="20"/>
          <w:szCs w:val="20"/>
          <w:lang w:val="kk-KZ"/>
        </w:rPr>
      </w:pPr>
      <w:r>
        <w:rPr>
          <w:rFonts w:ascii="Times New Roman" w:hAnsi="Times New Roman" w:cs="Times New Roman"/>
          <w:color w:val="auto"/>
          <w:sz w:val="20"/>
          <w:szCs w:val="20"/>
          <w:lang w:val="kk-KZ" w:eastAsia="kk-KZ"/>
        </w:rPr>
        <w:t>5.1. Лицензияны платформаның Құқық иеленушісі немесе ол уәкілеттік берген тұлға береді. Өнім беруші іске қосудың заңдылығына, қолжетімділіктің үздіксіздігіне және шарттың бүкіл мерзімі ішінде интеграциялау мен сүйемелдеуге өкілеттіктерінің болуына жауап береді.</w:t>
      </w:r>
    </w:p>
    <w:p w14:paraId="1DDB2076">
      <w:pPr>
        <w:spacing w:after="0" w:line="240" w:lineRule="auto"/>
        <w:jc w:val="both"/>
        <w:rPr>
          <w:rFonts w:ascii="Times New Roman" w:hAnsi="Times New Roman" w:cs="Times New Roman"/>
          <w:color w:val="auto"/>
          <w:sz w:val="20"/>
          <w:szCs w:val="20"/>
          <w:lang w:val="kk-KZ"/>
        </w:rPr>
      </w:pPr>
      <w:r>
        <w:rPr>
          <w:rFonts w:ascii="Times New Roman" w:hAnsi="Times New Roman" w:cs="Times New Roman"/>
          <w:color w:val="auto"/>
          <w:sz w:val="20"/>
          <w:szCs w:val="20"/>
          <w:lang w:val="kk-KZ" w:eastAsia="kk-KZ"/>
        </w:rPr>
        <w:t>5.2. Егер шартты Құқық иеленуші орындамаса, іске қосу сәтіне қарай Тапсырыс берушіге Құқық иеленушінің растауы беріледі. Онда Тапсырыс берушінің атауы мен БСН-ы, платформа, есептік жазба, 2026 жылғы 31 желтоқсанды қоса алғандағы қолжетімділік мерзімі және Өнім берушінің өкілеттіктері көрсетіледі. Құқық иеленушінің растауынсыз Өнім берушінің өзі жасаған құжат мұндай растауды алмастырмайды.</w:t>
      </w:r>
    </w:p>
    <w:p w14:paraId="7A7914FF">
      <w:pPr>
        <w:spacing w:after="0" w:line="240" w:lineRule="auto"/>
        <w:jc w:val="both"/>
        <w:rPr>
          <w:rFonts w:ascii="Times New Roman" w:hAnsi="Times New Roman" w:cs="Times New Roman"/>
          <w:color w:val="auto"/>
          <w:sz w:val="20"/>
          <w:szCs w:val="20"/>
          <w:lang w:val="kk-KZ"/>
        </w:rPr>
      </w:pPr>
      <w:r>
        <w:rPr>
          <w:rFonts w:ascii="Times New Roman" w:hAnsi="Times New Roman" w:cs="Times New Roman"/>
          <w:color w:val="auto"/>
          <w:sz w:val="20"/>
          <w:szCs w:val="20"/>
          <w:lang w:val="kk-KZ" w:eastAsia="kk-KZ"/>
        </w:rPr>
        <w:t>5.3. Платформаны баптау және кейінгі сүйемелдеу ұсынылатын бағдарламалық қамтамасыз етуді интеграциялау және техникалық қолдау бойынша әзірлеушінің немесе Құқық иеленушінің жарамды сертификаты бар кемінде бір маманның қатысуымен орындалады.</w:t>
      </w:r>
    </w:p>
    <w:p w14:paraId="12277B71">
      <w:pPr>
        <w:pStyle w:val="165"/>
        <w:keepLines/>
        <w:spacing w:before="0" w:after="0" w:line="240" w:lineRule="auto"/>
        <w:ind w:left="180" w:right="180"/>
        <w:jc w:val="both"/>
        <w:rPr>
          <w:rFonts w:ascii="Times New Roman" w:hAnsi="Times New Roman" w:cs="Times New Roman"/>
          <w:bCs/>
          <w:i/>
          <w:iCs/>
          <w:sz w:val="20"/>
          <w:szCs w:val="20"/>
          <w:lang w:val="kk-KZ"/>
        </w:rPr>
      </w:pPr>
      <w:r>
        <w:rPr>
          <w:rFonts w:ascii="Times New Roman" w:hAnsi="Times New Roman" w:eastAsia="Calibri" w:cs="Times New Roman"/>
          <w:b/>
          <w:bCs/>
          <w:i/>
          <w:iCs/>
          <w:sz w:val="20"/>
          <w:szCs w:val="20"/>
          <w:lang w:val="kk-KZ" w:eastAsia="kk-KZ"/>
        </w:rPr>
        <w:t>Ұсыну тәртібі.</w:t>
      </w:r>
      <w:r>
        <w:rPr>
          <w:rFonts w:ascii="Times New Roman" w:hAnsi="Times New Roman" w:eastAsia="Calibri" w:cs="Times New Roman"/>
          <w:bCs/>
          <w:i/>
          <w:iCs/>
          <w:sz w:val="20"/>
          <w:szCs w:val="20"/>
          <w:lang w:val="kk-KZ" w:eastAsia="kk-KZ"/>
        </w:rPr>
        <w:t xml:space="preserve"> Құқық иеленушінің құжаттары, тізілімнен үзінді көшірме, ақпараттық қауіпсіздік жөніндегі материалдар, өнеркәсіптік интеграцияны растау және маманның сертификаты орындау және қабылдау барысында беріледі. Оларды баға ұсыныстарын сұратуға қатысушының баға ұсынысына қоса беру талап етілмейді.</w:t>
      </w:r>
    </w:p>
    <w:p w14:paraId="0FB75AD2">
      <w:pPr>
        <w:pStyle w:val="2"/>
        <w:spacing w:before="0" w:after="0"/>
        <w:rPr>
          <w:rFonts w:ascii="Times New Roman" w:hAnsi="Times New Roman" w:eastAsia="Calibri" w:cs="Times New Roman"/>
          <w:b w:val="0"/>
          <w:i/>
          <w:iCs/>
          <w:color w:val="auto"/>
          <w:sz w:val="20"/>
          <w:szCs w:val="20"/>
          <w:lang w:val="kk-KZ"/>
        </w:rPr>
      </w:pPr>
    </w:p>
    <w:p w14:paraId="0823E9AF">
      <w:pPr>
        <w:pStyle w:val="2"/>
        <w:spacing w:before="0" w:after="0"/>
        <w:jc w:val="center"/>
        <w:rPr>
          <w:rFonts w:ascii="Times New Roman" w:hAnsi="Times New Roman" w:cs="Times New Roman"/>
          <w:color w:val="auto"/>
          <w:sz w:val="20"/>
          <w:szCs w:val="20"/>
          <w:lang w:val="kk-KZ"/>
        </w:rPr>
      </w:pPr>
      <w:r>
        <w:rPr>
          <w:rFonts w:ascii="Times New Roman" w:hAnsi="Times New Roman" w:eastAsia="Calibri" w:cs="Times New Roman"/>
          <w:color w:val="auto"/>
          <w:sz w:val="20"/>
          <w:szCs w:val="20"/>
          <w:lang w:val="kk-KZ" w:eastAsia="kk-KZ"/>
        </w:rPr>
        <w:t>6. Пайдалану кезіндегі техникалық қызмет көрсету және сервис деңгейі</w:t>
      </w:r>
    </w:p>
    <w:p w14:paraId="64C8854F">
      <w:pPr>
        <w:spacing w:after="0" w:line="240" w:lineRule="auto"/>
        <w:rPr>
          <w:rFonts w:ascii="Times New Roman" w:hAnsi="Times New Roman" w:cs="Times New Roman"/>
          <w:color w:val="auto"/>
          <w:sz w:val="20"/>
          <w:szCs w:val="20"/>
          <w:lang w:val="kk-KZ"/>
        </w:rPr>
      </w:pPr>
      <w:r>
        <w:rPr>
          <w:rFonts w:ascii="Times New Roman" w:hAnsi="Times New Roman" w:cs="Times New Roman"/>
          <w:color w:val="auto"/>
          <w:sz w:val="20"/>
          <w:szCs w:val="20"/>
          <w:lang w:val="kk-KZ" w:eastAsia="kk-KZ"/>
        </w:rPr>
        <w:t>6.1. Тапсырыс берушінің өтініштері демалыс және мереке күндерін қоспағанда, жұмыс күндері Астана қаласының уақыты бойынша сағат 09:00-ден 18:00-ге дейін қабылданады. Қолдау арнасы өтінішті, оның түскен уақытын, мазмұнын, жауапты орындаушыны және нәтижені тіркеуді қамтамасыз етуге тиіс.</w:t>
      </w:r>
    </w:p>
    <w:p w14:paraId="7BAF2460">
      <w:pPr>
        <w:spacing w:after="0" w:line="240" w:lineRule="auto"/>
        <w:rPr>
          <w:rFonts w:ascii="Times New Roman" w:hAnsi="Times New Roman" w:cs="Times New Roman"/>
          <w:color w:val="auto"/>
          <w:sz w:val="20"/>
          <w:szCs w:val="20"/>
          <w:lang w:val="kk-KZ"/>
        </w:rPr>
      </w:pPr>
      <w:r>
        <w:rPr>
          <w:rFonts w:ascii="Times New Roman" w:hAnsi="Times New Roman" w:cs="Times New Roman"/>
          <w:color w:val="auto"/>
          <w:sz w:val="20"/>
          <w:szCs w:val="20"/>
          <w:lang w:val="kk-KZ" w:eastAsia="kk-KZ"/>
        </w:rPr>
        <w:t>6.2. Ден қою уақыты өтініш жұмыс уақытында тіркелген сәттен бастап есептеледі. Автоматты хабарлама емес, өтініштің қабылданғанын растау және нақты диагностикалаудың басталуы ден қою болып есептеледі.</w:t>
      </w:r>
    </w:p>
    <w:tbl>
      <w:tblPr>
        <w:tblStyle w:val="12"/>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748"/>
        <w:gridCol w:w="2861"/>
        <w:gridCol w:w="2007"/>
        <w:gridCol w:w="3879"/>
      </w:tblGrid>
      <w:tr w14:paraId="7E5991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blHeader/>
        </w:trPr>
        <w:tc>
          <w:tcPr>
            <w:tcW w:w="833" w:type="pct"/>
            <w:tcMar>
              <w:top w:w="80" w:type="dxa"/>
              <w:left w:w="120" w:type="dxa"/>
              <w:bottom w:w="80" w:type="dxa"/>
              <w:right w:w="120" w:type="dxa"/>
            </w:tcMar>
            <w:vAlign w:val="center"/>
          </w:tcPr>
          <w:p w14:paraId="091380AC">
            <w:pPr>
              <w:pStyle w:val="167"/>
              <w:spacing w:line="240" w:lineRule="auto"/>
              <w:jc w:val="center"/>
              <w:rPr>
                <w:rFonts w:ascii="Times New Roman" w:hAnsi="Times New Roman" w:cs="Times New Roman"/>
                <w:color w:val="auto"/>
                <w:sz w:val="20"/>
                <w:szCs w:val="20"/>
              </w:rPr>
            </w:pPr>
            <w:r>
              <w:rPr>
                <w:rFonts w:ascii="Times New Roman" w:hAnsi="Times New Roman" w:eastAsia="Calibri" w:cs="Times New Roman"/>
                <w:color w:val="auto"/>
                <w:sz w:val="20"/>
                <w:szCs w:val="20"/>
                <w:lang w:val="kk-KZ" w:eastAsia="kk-KZ"/>
              </w:rPr>
              <w:t>Деңгей</w:t>
            </w:r>
          </w:p>
        </w:tc>
        <w:tc>
          <w:tcPr>
            <w:tcW w:w="1363" w:type="pct"/>
            <w:tcMar>
              <w:top w:w="80" w:type="dxa"/>
              <w:left w:w="120" w:type="dxa"/>
              <w:bottom w:w="80" w:type="dxa"/>
              <w:right w:w="120" w:type="dxa"/>
            </w:tcMar>
            <w:vAlign w:val="center"/>
          </w:tcPr>
          <w:p w14:paraId="4C3BFB75">
            <w:pPr>
              <w:pStyle w:val="167"/>
              <w:spacing w:line="240" w:lineRule="auto"/>
              <w:jc w:val="center"/>
              <w:rPr>
                <w:rFonts w:ascii="Times New Roman" w:hAnsi="Times New Roman" w:cs="Times New Roman"/>
                <w:color w:val="auto"/>
                <w:sz w:val="20"/>
                <w:szCs w:val="20"/>
              </w:rPr>
            </w:pPr>
            <w:r>
              <w:rPr>
                <w:rFonts w:ascii="Times New Roman" w:hAnsi="Times New Roman" w:eastAsia="Calibri" w:cs="Times New Roman"/>
                <w:color w:val="auto"/>
                <w:sz w:val="20"/>
                <w:szCs w:val="20"/>
                <w:lang w:val="kk-KZ" w:eastAsia="kk-KZ"/>
              </w:rPr>
              <w:t>Оқиға</w:t>
            </w:r>
          </w:p>
        </w:tc>
        <w:tc>
          <w:tcPr>
            <w:tcW w:w="956" w:type="pct"/>
            <w:tcMar>
              <w:top w:w="80" w:type="dxa"/>
              <w:left w:w="120" w:type="dxa"/>
              <w:bottom w:w="80" w:type="dxa"/>
              <w:right w:w="120" w:type="dxa"/>
            </w:tcMar>
            <w:vAlign w:val="center"/>
          </w:tcPr>
          <w:p w14:paraId="342AA174">
            <w:pPr>
              <w:pStyle w:val="167"/>
              <w:spacing w:line="240" w:lineRule="auto"/>
              <w:jc w:val="center"/>
              <w:rPr>
                <w:rFonts w:ascii="Times New Roman" w:hAnsi="Times New Roman" w:cs="Times New Roman"/>
                <w:color w:val="auto"/>
                <w:sz w:val="20"/>
                <w:szCs w:val="20"/>
              </w:rPr>
            </w:pPr>
            <w:r>
              <w:rPr>
                <w:rFonts w:ascii="Times New Roman" w:hAnsi="Times New Roman" w:eastAsia="Calibri" w:cs="Times New Roman"/>
                <w:color w:val="auto"/>
                <w:sz w:val="20"/>
                <w:szCs w:val="20"/>
                <w:lang w:val="kk-KZ" w:eastAsia="kk-KZ"/>
              </w:rPr>
              <w:t>Ден қоюдың басталуы</w:t>
            </w:r>
          </w:p>
        </w:tc>
        <w:tc>
          <w:tcPr>
            <w:tcW w:w="1848" w:type="pct"/>
            <w:tcMar>
              <w:top w:w="80" w:type="dxa"/>
              <w:left w:w="120" w:type="dxa"/>
              <w:bottom w:w="80" w:type="dxa"/>
              <w:right w:w="120" w:type="dxa"/>
            </w:tcMar>
            <w:vAlign w:val="center"/>
          </w:tcPr>
          <w:p w14:paraId="6280B2D5">
            <w:pPr>
              <w:pStyle w:val="167"/>
              <w:spacing w:line="240" w:lineRule="auto"/>
              <w:jc w:val="center"/>
              <w:rPr>
                <w:rFonts w:ascii="Times New Roman" w:hAnsi="Times New Roman" w:cs="Times New Roman"/>
                <w:color w:val="auto"/>
                <w:sz w:val="20"/>
                <w:szCs w:val="20"/>
              </w:rPr>
            </w:pPr>
            <w:r>
              <w:rPr>
                <w:rFonts w:ascii="Times New Roman" w:hAnsi="Times New Roman" w:eastAsia="Calibri" w:cs="Times New Roman"/>
                <w:color w:val="auto"/>
                <w:sz w:val="20"/>
                <w:szCs w:val="20"/>
                <w:lang w:val="kk-KZ" w:eastAsia="kk-KZ"/>
              </w:rPr>
              <w:t>Орындау мерзімі</w:t>
            </w:r>
          </w:p>
        </w:tc>
      </w:tr>
      <w:tr w14:paraId="15C48C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833" w:type="pct"/>
            <w:tcMar>
              <w:top w:w="80" w:type="dxa"/>
              <w:left w:w="120" w:type="dxa"/>
              <w:bottom w:w="80" w:type="dxa"/>
              <w:right w:w="120" w:type="dxa"/>
            </w:tcMar>
            <w:vAlign w:val="center"/>
          </w:tcPr>
          <w:p w14:paraId="4D2E2DEA">
            <w:pPr>
              <w:pStyle w:val="166"/>
              <w:spacing w:line="240" w:lineRule="auto"/>
              <w:rPr>
                <w:rFonts w:ascii="Times New Roman" w:hAnsi="Times New Roman" w:cs="Times New Roman"/>
                <w:color w:val="auto"/>
                <w:sz w:val="20"/>
                <w:szCs w:val="20"/>
              </w:rPr>
            </w:pPr>
            <w:r>
              <w:rPr>
                <w:rFonts w:ascii="Times New Roman" w:hAnsi="Times New Roman" w:eastAsia="Calibri" w:cs="Times New Roman"/>
                <w:color w:val="auto"/>
                <w:sz w:val="20"/>
                <w:szCs w:val="20"/>
                <w:lang w:val="kk-KZ" w:eastAsia="kk-KZ"/>
              </w:rPr>
              <w:t>Авариялық</w:t>
            </w:r>
          </w:p>
        </w:tc>
        <w:tc>
          <w:tcPr>
            <w:tcW w:w="1363" w:type="pct"/>
            <w:tcMar>
              <w:top w:w="80" w:type="dxa"/>
              <w:left w:w="120" w:type="dxa"/>
              <w:bottom w:w="80" w:type="dxa"/>
              <w:right w:w="120" w:type="dxa"/>
            </w:tcMar>
            <w:vAlign w:val="center"/>
          </w:tcPr>
          <w:p w14:paraId="7FA43FF2">
            <w:pPr>
              <w:pStyle w:val="166"/>
              <w:spacing w:line="240" w:lineRule="auto"/>
              <w:rPr>
                <w:rFonts w:ascii="Times New Roman" w:hAnsi="Times New Roman" w:cs="Times New Roman"/>
                <w:color w:val="auto"/>
                <w:sz w:val="20"/>
                <w:szCs w:val="20"/>
              </w:rPr>
            </w:pPr>
            <w:r>
              <w:rPr>
                <w:rFonts w:ascii="Times New Roman" w:hAnsi="Times New Roman" w:eastAsia="Calibri" w:cs="Times New Roman"/>
                <w:color w:val="auto"/>
                <w:sz w:val="20"/>
                <w:szCs w:val="20"/>
                <w:lang w:val="kk-KZ" w:eastAsia="kk-KZ"/>
              </w:rPr>
              <w:t>Платформа, интеграция немесе тамақтану оқиғаларын беру жұмыс істемейді</w:t>
            </w:r>
          </w:p>
        </w:tc>
        <w:tc>
          <w:tcPr>
            <w:tcW w:w="956" w:type="pct"/>
            <w:tcMar>
              <w:top w:w="80" w:type="dxa"/>
              <w:left w:w="120" w:type="dxa"/>
              <w:bottom w:w="80" w:type="dxa"/>
              <w:right w:w="120" w:type="dxa"/>
            </w:tcMar>
            <w:vAlign w:val="center"/>
          </w:tcPr>
          <w:p w14:paraId="5B36343A">
            <w:pPr>
              <w:pStyle w:val="166"/>
              <w:spacing w:line="240" w:lineRule="auto"/>
              <w:rPr>
                <w:rFonts w:ascii="Times New Roman" w:hAnsi="Times New Roman" w:cs="Times New Roman"/>
                <w:color w:val="auto"/>
                <w:sz w:val="20"/>
                <w:szCs w:val="20"/>
              </w:rPr>
            </w:pPr>
            <w:r>
              <w:rPr>
                <w:rFonts w:ascii="Times New Roman" w:hAnsi="Times New Roman" w:eastAsia="Calibri" w:cs="Times New Roman"/>
                <w:color w:val="auto"/>
                <w:sz w:val="20"/>
                <w:szCs w:val="20"/>
                <w:lang w:val="kk-KZ" w:eastAsia="kk-KZ"/>
              </w:rPr>
              <w:t>2 жұмыс сағатына дейін</w:t>
            </w:r>
          </w:p>
        </w:tc>
        <w:tc>
          <w:tcPr>
            <w:tcW w:w="1848" w:type="pct"/>
            <w:tcMar>
              <w:top w:w="80" w:type="dxa"/>
              <w:left w:w="120" w:type="dxa"/>
              <w:bottom w:w="80" w:type="dxa"/>
              <w:right w:w="120" w:type="dxa"/>
            </w:tcMar>
            <w:vAlign w:val="center"/>
          </w:tcPr>
          <w:p w14:paraId="497E8516">
            <w:pPr>
              <w:pStyle w:val="166"/>
              <w:spacing w:line="240" w:lineRule="auto"/>
              <w:rPr>
                <w:rFonts w:ascii="Times New Roman" w:hAnsi="Times New Roman" w:cs="Times New Roman"/>
                <w:color w:val="auto"/>
                <w:sz w:val="20"/>
                <w:szCs w:val="20"/>
              </w:rPr>
            </w:pPr>
            <w:r>
              <w:rPr>
                <w:rFonts w:ascii="Times New Roman" w:hAnsi="Times New Roman" w:eastAsia="Calibri" w:cs="Times New Roman"/>
                <w:color w:val="auto"/>
                <w:sz w:val="20"/>
                <w:szCs w:val="20"/>
                <w:lang w:val="kk-KZ" w:eastAsia="kk-KZ"/>
              </w:rPr>
              <w:t>Қалпына келтіру жоспары – 8 жұмыс сағатына дейін; Өнім беруші себепті 1 жұмыс күніне дейін жояды.</w:t>
            </w:r>
          </w:p>
        </w:tc>
      </w:tr>
      <w:tr w14:paraId="2E545A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833" w:type="pct"/>
            <w:tcMar>
              <w:top w:w="80" w:type="dxa"/>
              <w:left w:w="120" w:type="dxa"/>
              <w:bottom w:w="80" w:type="dxa"/>
              <w:right w:w="120" w:type="dxa"/>
            </w:tcMar>
            <w:vAlign w:val="center"/>
          </w:tcPr>
          <w:p w14:paraId="303D1674">
            <w:pPr>
              <w:pStyle w:val="166"/>
              <w:spacing w:line="240" w:lineRule="auto"/>
              <w:rPr>
                <w:rFonts w:ascii="Times New Roman" w:hAnsi="Times New Roman" w:cs="Times New Roman"/>
                <w:color w:val="auto"/>
                <w:sz w:val="20"/>
                <w:szCs w:val="20"/>
              </w:rPr>
            </w:pPr>
            <w:r>
              <w:rPr>
                <w:rFonts w:ascii="Times New Roman" w:hAnsi="Times New Roman" w:eastAsia="Calibri" w:cs="Times New Roman"/>
                <w:color w:val="auto"/>
                <w:sz w:val="20"/>
                <w:szCs w:val="20"/>
                <w:lang w:val="kk-KZ" w:eastAsia="kk-KZ"/>
              </w:rPr>
              <w:t>Стандартты</w:t>
            </w:r>
          </w:p>
        </w:tc>
        <w:tc>
          <w:tcPr>
            <w:tcW w:w="1363" w:type="pct"/>
            <w:tcMar>
              <w:top w:w="80" w:type="dxa"/>
              <w:left w:w="120" w:type="dxa"/>
              <w:bottom w:w="80" w:type="dxa"/>
              <w:right w:w="120" w:type="dxa"/>
            </w:tcMar>
            <w:vAlign w:val="center"/>
          </w:tcPr>
          <w:p w14:paraId="32932A2C">
            <w:pPr>
              <w:pStyle w:val="166"/>
              <w:spacing w:line="240" w:lineRule="auto"/>
              <w:rPr>
                <w:rFonts w:ascii="Times New Roman" w:hAnsi="Times New Roman" w:cs="Times New Roman"/>
                <w:color w:val="auto"/>
                <w:sz w:val="20"/>
                <w:szCs w:val="20"/>
              </w:rPr>
            </w:pPr>
            <w:r>
              <w:rPr>
                <w:rFonts w:ascii="Times New Roman" w:hAnsi="Times New Roman" w:eastAsia="Calibri" w:cs="Times New Roman"/>
                <w:color w:val="auto"/>
                <w:sz w:val="20"/>
                <w:szCs w:val="20"/>
                <w:lang w:val="kk-KZ" w:eastAsia="kk-KZ"/>
              </w:rPr>
              <w:t>Толық тоқтаусыз функциялардың, жабдықтың немесе алмасудың ішінара іркілісі</w:t>
            </w:r>
          </w:p>
        </w:tc>
        <w:tc>
          <w:tcPr>
            <w:tcW w:w="956" w:type="pct"/>
            <w:tcMar>
              <w:top w:w="80" w:type="dxa"/>
              <w:left w:w="120" w:type="dxa"/>
              <w:bottom w:w="80" w:type="dxa"/>
              <w:right w:w="120" w:type="dxa"/>
            </w:tcMar>
            <w:vAlign w:val="center"/>
          </w:tcPr>
          <w:p w14:paraId="52C59F24">
            <w:pPr>
              <w:pStyle w:val="166"/>
              <w:spacing w:line="240" w:lineRule="auto"/>
              <w:rPr>
                <w:rFonts w:ascii="Times New Roman" w:hAnsi="Times New Roman" w:cs="Times New Roman"/>
                <w:color w:val="auto"/>
                <w:sz w:val="20"/>
                <w:szCs w:val="20"/>
              </w:rPr>
            </w:pPr>
            <w:r>
              <w:rPr>
                <w:rFonts w:ascii="Times New Roman" w:hAnsi="Times New Roman" w:eastAsia="Calibri" w:cs="Times New Roman"/>
                <w:color w:val="auto"/>
                <w:sz w:val="20"/>
                <w:szCs w:val="20"/>
                <w:lang w:val="kk-KZ" w:eastAsia="kk-KZ"/>
              </w:rPr>
              <w:t>4 жұмыс сағатына дейін</w:t>
            </w:r>
          </w:p>
        </w:tc>
        <w:tc>
          <w:tcPr>
            <w:tcW w:w="1848" w:type="pct"/>
            <w:tcMar>
              <w:top w:w="80" w:type="dxa"/>
              <w:left w:w="120" w:type="dxa"/>
              <w:bottom w:w="80" w:type="dxa"/>
              <w:right w:w="120" w:type="dxa"/>
            </w:tcMar>
            <w:vAlign w:val="center"/>
          </w:tcPr>
          <w:p w14:paraId="02771B06">
            <w:pPr>
              <w:pStyle w:val="166"/>
              <w:spacing w:line="240" w:lineRule="auto"/>
              <w:rPr>
                <w:rFonts w:ascii="Times New Roman" w:hAnsi="Times New Roman" w:cs="Times New Roman"/>
                <w:color w:val="auto"/>
                <w:sz w:val="20"/>
                <w:szCs w:val="20"/>
              </w:rPr>
            </w:pPr>
            <w:r>
              <w:rPr>
                <w:rFonts w:ascii="Times New Roman" w:hAnsi="Times New Roman" w:eastAsia="Calibri" w:cs="Times New Roman"/>
                <w:color w:val="auto"/>
                <w:sz w:val="20"/>
                <w:szCs w:val="20"/>
                <w:lang w:val="kk-KZ" w:eastAsia="kk-KZ"/>
              </w:rPr>
              <w:t>Өнім беруші себепті 3 жұмыс күніне дейін жояды.</w:t>
            </w:r>
          </w:p>
        </w:tc>
      </w:tr>
      <w:tr w14:paraId="3F509E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833" w:type="pct"/>
            <w:tcMar>
              <w:top w:w="80" w:type="dxa"/>
              <w:left w:w="120" w:type="dxa"/>
              <w:bottom w:w="80" w:type="dxa"/>
              <w:right w:w="120" w:type="dxa"/>
            </w:tcMar>
            <w:vAlign w:val="center"/>
          </w:tcPr>
          <w:p w14:paraId="75291EC2">
            <w:pPr>
              <w:pStyle w:val="166"/>
              <w:spacing w:line="240" w:lineRule="auto"/>
              <w:rPr>
                <w:rFonts w:ascii="Times New Roman" w:hAnsi="Times New Roman" w:cs="Times New Roman"/>
                <w:color w:val="auto"/>
                <w:sz w:val="20"/>
                <w:szCs w:val="20"/>
              </w:rPr>
            </w:pPr>
            <w:r>
              <w:rPr>
                <w:rFonts w:ascii="Times New Roman" w:hAnsi="Times New Roman" w:eastAsia="Calibri" w:cs="Times New Roman"/>
                <w:color w:val="auto"/>
                <w:sz w:val="20"/>
                <w:szCs w:val="20"/>
                <w:lang w:val="kk-KZ" w:eastAsia="kk-KZ"/>
              </w:rPr>
              <w:t>Консультация</w:t>
            </w:r>
          </w:p>
        </w:tc>
        <w:tc>
          <w:tcPr>
            <w:tcW w:w="1363" w:type="pct"/>
            <w:tcMar>
              <w:top w:w="80" w:type="dxa"/>
              <w:left w:w="120" w:type="dxa"/>
              <w:bottom w:w="80" w:type="dxa"/>
              <w:right w:w="120" w:type="dxa"/>
            </w:tcMar>
            <w:vAlign w:val="center"/>
          </w:tcPr>
          <w:p w14:paraId="458DE81F">
            <w:pPr>
              <w:pStyle w:val="166"/>
              <w:spacing w:line="240" w:lineRule="auto"/>
              <w:rPr>
                <w:rFonts w:ascii="Times New Roman" w:hAnsi="Times New Roman" w:cs="Times New Roman"/>
                <w:color w:val="auto"/>
                <w:sz w:val="20"/>
                <w:szCs w:val="20"/>
              </w:rPr>
            </w:pPr>
            <w:r>
              <w:rPr>
                <w:rFonts w:ascii="Times New Roman" w:hAnsi="Times New Roman" w:eastAsia="Calibri" w:cs="Times New Roman"/>
                <w:color w:val="auto"/>
                <w:sz w:val="20"/>
                <w:szCs w:val="20"/>
                <w:lang w:val="kk-KZ" w:eastAsia="kk-KZ"/>
              </w:rPr>
              <w:t>Консультация, есеп, кабинетті, жабдықты немесе интеграцияны баптау</w:t>
            </w:r>
          </w:p>
        </w:tc>
        <w:tc>
          <w:tcPr>
            <w:tcW w:w="956" w:type="pct"/>
            <w:tcMar>
              <w:top w:w="80" w:type="dxa"/>
              <w:left w:w="120" w:type="dxa"/>
              <w:bottom w:w="80" w:type="dxa"/>
              <w:right w:w="120" w:type="dxa"/>
            </w:tcMar>
            <w:vAlign w:val="center"/>
          </w:tcPr>
          <w:p w14:paraId="700EB99C">
            <w:pPr>
              <w:pStyle w:val="166"/>
              <w:spacing w:line="240" w:lineRule="auto"/>
              <w:rPr>
                <w:rFonts w:ascii="Times New Roman" w:hAnsi="Times New Roman" w:cs="Times New Roman"/>
                <w:color w:val="auto"/>
                <w:sz w:val="20"/>
                <w:szCs w:val="20"/>
              </w:rPr>
            </w:pPr>
            <w:r>
              <w:rPr>
                <w:rFonts w:ascii="Times New Roman" w:hAnsi="Times New Roman" w:eastAsia="Calibri" w:cs="Times New Roman"/>
                <w:color w:val="auto"/>
                <w:sz w:val="20"/>
                <w:szCs w:val="20"/>
                <w:lang w:val="kk-KZ" w:eastAsia="kk-KZ"/>
              </w:rPr>
              <w:t>1 жұмыс күніне дейін</w:t>
            </w:r>
          </w:p>
        </w:tc>
        <w:tc>
          <w:tcPr>
            <w:tcW w:w="1848" w:type="pct"/>
            <w:tcMar>
              <w:top w:w="80" w:type="dxa"/>
              <w:left w:w="120" w:type="dxa"/>
              <w:bottom w:w="80" w:type="dxa"/>
              <w:right w:w="120" w:type="dxa"/>
            </w:tcMar>
            <w:vAlign w:val="center"/>
          </w:tcPr>
          <w:p w14:paraId="7FF39964">
            <w:pPr>
              <w:pStyle w:val="166"/>
              <w:spacing w:line="240" w:lineRule="auto"/>
              <w:rPr>
                <w:rFonts w:ascii="Times New Roman" w:hAnsi="Times New Roman" w:cs="Times New Roman"/>
                <w:color w:val="auto"/>
                <w:sz w:val="20"/>
                <w:szCs w:val="20"/>
              </w:rPr>
            </w:pPr>
            <w:r>
              <w:rPr>
                <w:rFonts w:ascii="Times New Roman" w:hAnsi="Times New Roman" w:eastAsia="Calibri" w:cs="Times New Roman"/>
                <w:color w:val="auto"/>
                <w:sz w:val="20"/>
                <w:szCs w:val="20"/>
                <w:lang w:val="kk-KZ" w:eastAsia="kk-KZ"/>
              </w:rPr>
              <w:t>2 жұмыс күніне дейін немесе келісілген мерзімде орындалады.</w:t>
            </w:r>
          </w:p>
        </w:tc>
      </w:tr>
      <w:tr w14:paraId="21FF4F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833" w:type="pct"/>
            <w:tcMar>
              <w:top w:w="80" w:type="dxa"/>
              <w:left w:w="120" w:type="dxa"/>
              <w:bottom w:w="80" w:type="dxa"/>
              <w:right w:w="120" w:type="dxa"/>
            </w:tcMar>
            <w:vAlign w:val="center"/>
          </w:tcPr>
          <w:p w14:paraId="12CECA6E">
            <w:pPr>
              <w:pStyle w:val="166"/>
              <w:spacing w:line="240" w:lineRule="auto"/>
              <w:rPr>
                <w:rFonts w:ascii="Times New Roman" w:hAnsi="Times New Roman" w:cs="Times New Roman"/>
                <w:color w:val="auto"/>
                <w:sz w:val="20"/>
                <w:szCs w:val="20"/>
              </w:rPr>
            </w:pPr>
            <w:r>
              <w:rPr>
                <w:rFonts w:ascii="Times New Roman" w:hAnsi="Times New Roman" w:eastAsia="Calibri" w:cs="Times New Roman"/>
                <w:color w:val="auto"/>
                <w:sz w:val="20"/>
                <w:szCs w:val="20"/>
                <w:lang w:val="kk-KZ" w:eastAsia="kk-KZ"/>
              </w:rPr>
              <w:t>Бару</w:t>
            </w:r>
          </w:p>
        </w:tc>
        <w:tc>
          <w:tcPr>
            <w:tcW w:w="1363" w:type="pct"/>
            <w:tcMar>
              <w:top w:w="80" w:type="dxa"/>
              <w:left w:w="120" w:type="dxa"/>
              <w:bottom w:w="80" w:type="dxa"/>
              <w:right w:w="120" w:type="dxa"/>
            </w:tcMar>
            <w:vAlign w:val="center"/>
          </w:tcPr>
          <w:p w14:paraId="22389629">
            <w:pPr>
              <w:pStyle w:val="166"/>
              <w:spacing w:line="240" w:lineRule="auto"/>
              <w:rPr>
                <w:rFonts w:ascii="Times New Roman" w:hAnsi="Times New Roman" w:cs="Times New Roman"/>
                <w:color w:val="auto"/>
                <w:sz w:val="20"/>
                <w:szCs w:val="20"/>
              </w:rPr>
            </w:pPr>
            <w:r>
              <w:rPr>
                <w:rFonts w:ascii="Times New Roman" w:hAnsi="Times New Roman" w:eastAsia="Calibri" w:cs="Times New Roman"/>
                <w:color w:val="auto"/>
                <w:sz w:val="20"/>
                <w:szCs w:val="20"/>
                <w:lang w:val="kk-KZ" w:eastAsia="kk-KZ"/>
              </w:rPr>
              <w:t>Қашықтан жою мүмкін емес</w:t>
            </w:r>
          </w:p>
        </w:tc>
        <w:tc>
          <w:tcPr>
            <w:tcW w:w="956" w:type="pct"/>
            <w:tcMar>
              <w:top w:w="80" w:type="dxa"/>
              <w:left w:w="120" w:type="dxa"/>
              <w:bottom w:w="80" w:type="dxa"/>
              <w:right w:w="120" w:type="dxa"/>
            </w:tcMar>
            <w:vAlign w:val="center"/>
          </w:tcPr>
          <w:p w14:paraId="6FE55F36">
            <w:pPr>
              <w:pStyle w:val="166"/>
              <w:spacing w:line="240" w:lineRule="auto"/>
              <w:rPr>
                <w:rFonts w:ascii="Times New Roman" w:hAnsi="Times New Roman" w:cs="Times New Roman"/>
                <w:color w:val="auto"/>
                <w:sz w:val="20"/>
                <w:szCs w:val="20"/>
              </w:rPr>
            </w:pPr>
            <w:r>
              <w:rPr>
                <w:rFonts w:ascii="Times New Roman" w:hAnsi="Times New Roman" w:eastAsia="Calibri" w:cs="Times New Roman"/>
                <w:color w:val="auto"/>
                <w:sz w:val="20"/>
                <w:szCs w:val="20"/>
                <w:lang w:val="kk-KZ" w:eastAsia="kk-KZ"/>
              </w:rPr>
              <w:t>қашықтан диагностикалаудан кейін</w:t>
            </w:r>
          </w:p>
        </w:tc>
        <w:tc>
          <w:tcPr>
            <w:tcW w:w="1848" w:type="pct"/>
            <w:tcMar>
              <w:top w:w="80" w:type="dxa"/>
              <w:left w:w="120" w:type="dxa"/>
              <w:bottom w:w="80" w:type="dxa"/>
              <w:right w:w="120" w:type="dxa"/>
            </w:tcMar>
            <w:vAlign w:val="center"/>
          </w:tcPr>
          <w:p w14:paraId="4D827CEC">
            <w:pPr>
              <w:pStyle w:val="166"/>
              <w:spacing w:line="240" w:lineRule="auto"/>
              <w:rPr>
                <w:rFonts w:ascii="Times New Roman" w:hAnsi="Times New Roman" w:cs="Times New Roman"/>
                <w:color w:val="auto"/>
                <w:sz w:val="20"/>
                <w:szCs w:val="20"/>
              </w:rPr>
            </w:pPr>
            <w:r>
              <w:rPr>
                <w:rFonts w:ascii="Times New Roman" w:hAnsi="Times New Roman" w:eastAsia="Calibri" w:cs="Times New Roman"/>
                <w:color w:val="auto"/>
                <w:sz w:val="20"/>
                <w:szCs w:val="20"/>
                <w:lang w:val="kk-KZ" w:eastAsia="kk-KZ"/>
              </w:rPr>
              <w:t>Маман 3 жұмыс күнінен кешіктірмей келеді.</w:t>
            </w:r>
          </w:p>
        </w:tc>
      </w:tr>
    </w:tbl>
    <w:p w14:paraId="5A9C1B61">
      <w:pPr>
        <w:spacing w:after="0" w:line="240" w:lineRule="auto"/>
        <w:jc w:val="both"/>
        <w:rPr>
          <w:rFonts w:ascii="Times New Roman" w:hAnsi="Times New Roman" w:cs="Times New Roman"/>
          <w:color w:val="auto"/>
          <w:sz w:val="20"/>
          <w:szCs w:val="20"/>
          <w:lang w:val="kk-KZ"/>
        </w:rPr>
      </w:pPr>
      <w:r>
        <w:rPr>
          <w:rFonts w:ascii="Times New Roman" w:hAnsi="Times New Roman" w:cs="Times New Roman"/>
          <w:color w:val="auto"/>
          <w:sz w:val="20"/>
          <w:szCs w:val="20"/>
          <w:lang w:val="kk-KZ" w:eastAsia="kk-KZ"/>
        </w:rPr>
        <w:t>6.3. Іркілістің сыртқы себебі болған кезде Өнім беруші бастапқы диагностиканы жүргізеді, ақау көзін айқындайды және Тапсырыс берушіні жазбаша хабардар етеді. Байланыс операторы, «Әлеуметтік әмиян» АЖ немесе өзге үшінші тарап жұмысты қалпына келтіргенге дейін Өнім беруші қажетті техникалық жәрдем көрсетеді; сыртқы себепті жоюдың расталған кезеңі оның SLA көрсеткішіне енгізілмейді.</w:t>
      </w:r>
    </w:p>
    <w:p w14:paraId="31D350CD">
      <w:pPr>
        <w:pStyle w:val="2"/>
        <w:spacing w:before="0" w:after="0"/>
        <w:rPr>
          <w:rFonts w:ascii="Times New Roman" w:hAnsi="Times New Roman" w:eastAsia="Calibri" w:cs="Times New Roman"/>
          <w:color w:val="auto"/>
          <w:sz w:val="20"/>
          <w:szCs w:val="20"/>
          <w:lang w:val="kk-KZ"/>
        </w:rPr>
      </w:pPr>
    </w:p>
    <w:p w14:paraId="12CF85EB">
      <w:pPr>
        <w:pStyle w:val="2"/>
        <w:spacing w:before="0" w:after="0"/>
        <w:jc w:val="center"/>
        <w:rPr>
          <w:rFonts w:ascii="Times New Roman" w:hAnsi="Times New Roman" w:cs="Times New Roman"/>
          <w:color w:val="auto"/>
          <w:sz w:val="20"/>
          <w:szCs w:val="20"/>
          <w:lang w:val="kk-KZ"/>
        </w:rPr>
      </w:pPr>
      <w:r>
        <w:rPr>
          <w:rFonts w:ascii="Times New Roman" w:hAnsi="Times New Roman" w:eastAsia="Calibri" w:cs="Times New Roman"/>
          <w:color w:val="auto"/>
          <w:sz w:val="20"/>
          <w:szCs w:val="20"/>
          <w:lang w:val="kk-KZ" w:eastAsia="kk-KZ"/>
        </w:rPr>
        <w:t>7. Деректерді өңдеу және қорғау режимі</w:t>
      </w:r>
    </w:p>
    <w:p w14:paraId="3E5139C0">
      <w:pPr>
        <w:spacing w:after="0" w:line="240" w:lineRule="auto"/>
        <w:jc w:val="both"/>
        <w:rPr>
          <w:rFonts w:ascii="Times New Roman" w:hAnsi="Times New Roman" w:cs="Times New Roman"/>
          <w:color w:val="auto"/>
          <w:sz w:val="20"/>
          <w:szCs w:val="20"/>
          <w:lang w:val="kk-KZ"/>
        </w:rPr>
      </w:pPr>
      <w:r>
        <w:rPr>
          <w:rFonts w:ascii="Times New Roman" w:hAnsi="Times New Roman" w:cs="Times New Roman"/>
          <w:color w:val="auto"/>
          <w:sz w:val="20"/>
          <w:szCs w:val="20"/>
          <w:lang w:val="kk-KZ" w:eastAsia="kk-KZ"/>
        </w:rPr>
        <w:t>Пайдаланушылардың дербес деректері бар платформаның электрондық ресурстары Қазақстан Республикасының аумағындағы деректер қорында сақталады; көрсетілетін қызмет шеңберінде оларды трансшекаралық орналастыруға жол берілмейді. Өнім беруші өз қызметкерлерінің рөлдік қолжетімділігін ұйымдастырады, олардың әрекеттерін тіркейді және қолжетімділікті Тапсырыс берушінің нақты өтінішін орындау үшін объективті түрде қажетті кезеңге және көлемде ғана береді. Ақпараттық алмасу және қашықтан қызмет көрсету қорғалған арналар арқылы жүзеге асырылады, бұл ретте қашықтан қосылу Тапсырыс берушінің уәкілетті өкілі хабардар етіле отырып орындалады және пайдаланушылар базасын өз бетінше жүктеп алу үшін пайдаланылмайды. Тамақтану оқиғасын беру үшін сәйкестендіру нәтижесі қолданылады; егер интеграциялық сценарий оларды жеке заңды негізде өңдеуді талап етпесе, бастапқы биометриялық кескіндер мен үлгілер бұлттық платформаға көшірілмейді. Тапсырыс беруші осы ерекшелікте көзделген есептік деректерді берудің заңды негізінің болуын қамтамасыз етеді, ал Өнім беруші олардың құпиялылығына, тұтастығына, қолжетімділігіне және Қазақстан Республикасының заңнамасын сақтай отырып, шартты орындау мақсатында ғана өңделуіне жауап береді.</w:t>
      </w:r>
    </w:p>
    <w:p w14:paraId="4D214920">
      <w:pPr>
        <w:pStyle w:val="2"/>
        <w:spacing w:before="0" w:after="0"/>
        <w:rPr>
          <w:rFonts w:ascii="Times New Roman" w:hAnsi="Times New Roman" w:eastAsia="Calibri" w:cs="Times New Roman"/>
          <w:color w:val="auto"/>
          <w:sz w:val="20"/>
          <w:szCs w:val="20"/>
          <w:lang w:val="kk-KZ"/>
        </w:rPr>
      </w:pPr>
    </w:p>
    <w:p w14:paraId="10FF2A51">
      <w:pPr>
        <w:pStyle w:val="2"/>
        <w:spacing w:before="0" w:after="0"/>
        <w:jc w:val="center"/>
        <w:rPr>
          <w:rFonts w:ascii="Times New Roman" w:hAnsi="Times New Roman" w:cs="Times New Roman"/>
          <w:color w:val="auto"/>
          <w:sz w:val="20"/>
          <w:szCs w:val="20"/>
          <w:lang w:val="kk-KZ"/>
        </w:rPr>
      </w:pPr>
      <w:r>
        <w:rPr>
          <w:rFonts w:ascii="Times New Roman" w:hAnsi="Times New Roman" w:eastAsia="Calibri" w:cs="Times New Roman"/>
          <w:color w:val="auto"/>
          <w:sz w:val="20"/>
          <w:szCs w:val="20"/>
          <w:lang w:val="kk-KZ" w:eastAsia="kk-KZ"/>
        </w:rPr>
        <w:t>8. Нәтижені тексеру және есеп айырысу</w:t>
      </w:r>
    </w:p>
    <w:p w14:paraId="2807292A">
      <w:pPr>
        <w:spacing w:after="0" w:line="240" w:lineRule="auto"/>
        <w:rPr>
          <w:rFonts w:ascii="Times New Roman" w:hAnsi="Times New Roman" w:cs="Times New Roman"/>
          <w:color w:val="auto"/>
          <w:sz w:val="20"/>
          <w:szCs w:val="20"/>
          <w:lang w:val="kk-KZ"/>
        </w:rPr>
      </w:pPr>
      <w:r>
        <w:rPr>
          <w:rFonts w:ascii="Times New Roman" w:hAnsi="Times New Roman" w:cs="Times New Roman"/>
          <w:color w:val="auto"/>
          <w:sz w:val="20"/>
          <w:szCs w:val="20"/>
          <w:lang w:val="kk-KZ" w:eastAsia="kk-KZ"/>
        </w:rPr>
        <w:t>8.1. Электрондық актіні ұсынғанға дейін Өнім беруші Тапсырыс берушіні нәтиженің дайын екені туралы хабардар етеді және мынадай бақылау тексерулерінің өткізілуін қамтамасыз етеді:</w:t>
      </w:r>
    </w:p>
    <w:p w14:paraId="35C2EB87">
      <w:pPr>
        <w:pStyle w:val="22"/>
        <w:numPr>
          <w:ilvl w:val="0"/>
          <w:numId w:val="2"/>
        </w:numPr>
        <w:spacing w:after="0" w:line="240" w:lineRule="auto"/>
        <w:rPr>
          <w:rFonts w:ascii="Times New Roman" w:hAnsi="Times New Roman" w:cs="Times New Roman"/>
          <w:color w:val="auto"/>
          <w:sz w:val="20"/>
          <w:szCs w:val="20"/>
          <w:lang w:val="kk-KZ"/>
        </w:rPr>
      </w:pPr>
      <w:r>
        <w:rPr>
          <w:rFonts w:ascii="Times New Roman" w:hAnsi="Times New Roman" w:cs="Times New Roman"/>
          <w:color w:val="auto"/>
          <w:sz w:val="20"/>
          <w:szCs w:val="20"/>
          <w:lang w:val="kk-KZ" w:eastAsia="kk-KZ"/>
        </w:rPr>
        <w:t>қолданыстағы АБК жабдықты ауыстырмай қосылған, ал бұлттық платформаға лицензиялық қолжетімділік 2026 жылғы 31 желтоқсанды қоса алғанда іске қосылған;</w:t>
      </w:r>
    </w:p>
    <w:p w14:paraId="11D26786">
      <w:pPr>
        <w:numPr>
          <w:ilvl w:val="0"/>
          <w:numId w:val="1"/>
        </w:numPr>
        <w:spacing w:after="0" w:line="240" w:lineRule="auto"/>
        <w:rPr>
          <w:rFonts w:ascii="Times New Roman" w:hAnsi="Times New Roman" w:cs="Times New Roman"/>
          <w:color w:val="auto"/>
          <w:sz w:val="20"/>
          <w:szCs w:val="20"/>
          <w:lang w:val="kk-KZ"/>
        </w:rPr>
      </w:pPr>
      <w:r>
        <w:rPr>
          <w:rFonts w:ascii="Times New Roman" w:hAnsi="Times New Roman" w:cs="Times New Roman"/>
          <w:color w:val="auto"/>
          <w:sz w:val="20"/>
          <w:szCs w:val="20"/>
          <w:lang w:val="kk-KZ" w:eastAsia="kk-KZ"/>
        </w:rPr>
        <w:t>тамақтанудың бақылау оқиғасы платформада қабылданған және «Әлеуметтік әмиян» АЖ-мен өнеркәсіптік алмасуда қайталанбай көрсетілген;</w:t>
      </w:r>
    </w:p>
    <w:p w14:paraId="4FDA2C1D">
      <w:pPr>
        <w:numPr>
          <w:ilvl w:val="0"/>
          <w:numId w:val="1"/>
        </w:numPr>
        <w:spacing w:after="0" w:line="240" w:lineRule="auto"/>
        <w:rPr>
          <w:rFonts w:ascii="Times New Roman" w:hAnsi="Times New Roman" w:cs="Times New Roman"/>
          <w:color w:val="auto"/>
          <w:sz w:val="20"/>
          <w:szCs w:val="20"/>
          <w:lang w:val="kk-KZ"/>
        </w:rPr>
      </w:pPr>
      <w:r>
        <w:rPr>
          <w:rFonts w:ascii="Times New Roman" w:hAnsi="Times New Roman" w:cs="Times New Roman"/>
          <w:color w:val="auto"/>
          <w:sz w:val="20"/>
          <w:szCs w:val="20"/>
          <w:lang w:val="kk-KZ" w:eastAsia="kk-KZ"/>
        </w:rPr>
        <w:t>Тапсырыс берушіге әкімшілік кабинет, міндетті функционалдық модульдер, есептілік пен мониторинг қолжетімді, ал техникалық қолдау арнасы жұмыс режиміне ауыстырылған;</w:t>
      </w:r>
    </w:p>
    <w:p w14:paraId="7FDB235B">
      <w:pPr>
        <w:numPr>
          <w:ilvl w:val="0"/>
          <w:numId w:val="1"/>
        </w:numPr>
        <w:spacing w:after="0" w:line="240" w:lineRule="auto"/>
        <w:rPr>
          <w:rFonts w:ascii="Times New Roman" w:hAnsi="Times New Roman" w:cs="Times New Roman"/>
          <w:color w:val="auto"/>
          <w:sz w:val="20"/>
          <w:szCs w:val="20"/>
          <w:lang w:val="kk-KZ"/>
        </w:rPr>
      </w:pPr>
      <w:r>
        <w:rPr>
          <w:rFonts w:ascii="Times New Roman" w:hAnsi="Times New Roman" w:cs="Times New Roman"/>
          <w:color w:val="auto"/>
          <w:sz w:val="20"/>
          <w:szCs w:val="20"/>
          <w:lang w:val="kk-KZ" w:eastAsia="kk-KZ"/>
        </w:rPr>
        <w:t>осы техникалық ерекшелікте тікелей көзделген растаушы құжаттар ұсынылған.</w:t>
      </w:r>
    </w:p>
    <w:tbl>
      <w:tblPr>
        <w:tblStyle w:val="12"/>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672"/>
        <w:gridCol w:w="7823"/>
      </w:tblGrid>
      <w:tr w14:paraId="6600F5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blHeader/>
        </w:trPr>
        <w:tc>
          <w:tcPr>
            <w:tcW w:w="1273" w:type="pct"/>
            <w:tcMar>
              <w:top w:w="80" w:type="dxa"/>
              <w:left w:w="120" w:type="dxa"/>
              <w:bottom w:w="80" w:type="dxa"/>
              <w:right w:w="120" w:type="dxa"/>
            </w:tcMar>
            <w:vAlign w:val="center"/>
          </w:tcPr>
          <w:p w14:paraId="14E85D90">
            <w:pPr>
              <w:pStyle w:val="167"/>
              <w:spacing w:line="240" w:lineRule="auto"/>
              <w:jc w:val="center"/>
              <w:rPr>
                <w:rFonts w:ascii="Times New Roman" w:hAnsi="Times New Roman" w:cs="Times New Roman"/>
                <w:color w:val="auto"/>
                <w:sz w:val="20"/>
                <w:szCs w:val="20"/>
              </w:rPr>
            </w:pPr>
            <w:r>
              <w:rPr>
                <w:rFonts w:ascii="Times New Roman" w:hAnsi="Times New Roman" w:eastAsia="Calibri" w:cs="Times New Roman"/>
                <w:color w:val="auto"/>
                <w:sz w:val="20"/>
                <w:szCs w:val="20"/>
                <w:lang w:val="kk-KZ" w:eastAsia="kk-KZ"/>
              </w:rPr>
              <w:t>Бақылау тексеруі</w:t>
            </w:r>
          </w:p>
        </w:tc>
        <w:tc>
          <w:tcPr>
            <w:tcW w:w="3727" w:type="pct"/>
            <w:tcMar>
              <w:top w:w="80" w:type="dxa"/>
              <w:left w:w="120" w:type="dxa"/>
              <w:bottom w:w="80" w:type="dxa"/>
              <w:right w:w="120" w:type="dxa"/>
            </w:tcMar>
            <w:vAlign w:val="center"/>
          </w:tcPr>
          <w:p w14:paraId="315A0866">
            <w:pPr>
              <w:pStyle w:val="167"/>
              <w:spacing w:line="240" w:lineRule="auto"/>
              <w:jc w:val="center"/>
              <w:rPr>
                <w:rFonts w:ascii="Times New Roman" w:hAnsi="Times New Roman" w:cs="Times New Roman"/>
                <w:color w:val="auto"/>
                <w:sz w:val="20"/>
                <w:szCs w:val="20"/>
              </w:rPr>
            </w:pPr>
            <w:r>
              <w:rPr>
                <w:rFonts w:ascii="Times New Roman" w:hAnsi="Times New Roman" w:eastAsia="Calibri" w:cs="Times New Roman"/>
                <w:color w:val="auto"/>
                <w:sz w:val="20"/>
                <w:szCs w:val="20"/>
                <w:lang w:val="kk-KZ" w:eastAsia="kk-KZ"/>
              </w:rPr>
              <w:t>Сәтті орындалу белгісі</w:t>
            </w:r>
          </w:p>
        </w:tc>
      </w:tr>
      <w:tr w14:paraId="2F7F10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3" w:type="pct"/>
            <w:tcMar>
              <w:top w:w="80" w:type="dxa"/>
              <w:left w:w="120" w:type="dxa"/>
              <w:bottom w:w="80" w:type="dxa"/>
              <w:right w:w="120" w:type="dxa"/>
            </w:tcMar>
            <w:vAlign w:val="center"/>
          </w:tcPr>
          <w:p w14:paraId="4DD889B8">
            <w:pPr>
              <w:pStyle w:val="166"/>
              <w:spacing w:line="240" w:lineRule="auto"/>
              <w:rPr>
                <w:rFonts w:ascii="Times New Roman" w:hAnsi="Times New Roman" w:cs="Times New Roman"/>
                <w:color w:val="auto"/>
                <w:sz w:val="20"/>
                <w:szCs w:val="20"/>
              </w:rPr>
            </w:pPr>
            <w:r>
              <w:rPr>
                <w:rFonts w:ascii="Times New Roman" w:hAnsi="Times New Roman" w:eastAsia="Calibri" w:cs="Times New Roman"/>
                <w:color w:val="auto"/>
                <w:sz w:val="20"/>
                <w:szCs w:val="20"/>
                <w:lang w:val="kk-KZ" w:eastAsia="kk-KZ"/>
              </w:rPr>
              <w:t>Қолданыстағы АБК жұмысы</w:t>
            </w:r>
          </w:p>
        </w:tc>
        <w:tc>
          <w:tcPr>
            <w:tcW w:w="3727" w:type="pct"/>
            <w:tcMar>
              <w:top w:w="80" w:type="dxa"/>
              <w:left w:w="120" w:type="dxa"/>
              <w:bottom w:w="80" w:type="dxa"/>
              <w:right w:w="120" w:type="dxa"/>
            </w:tcMar>
            <w:vAlign w:val="center"/>
          </w:tcPr>
          <w:p w14:paraId="072848D7">
            <w:pPr>
              <w:pStyle w:val="166"/>
              <w:spacing w:line="240" w:lineRule="auto"/>
              <w:rPr>
                <w:rFonts w:ascii="Times New Roman" w:hAnsi="Times New Roman" w:cs="Times New Roman"/>
                <w:color w:val="auto"/>
                <w:sz w:val="20"/>
                <w:szCs w:val="20"/>
              </w:rPr>
            </w:pPr>
            <w:r>
              <w:rPr>
                <w:rFonts w:ascii="Times New Roman" w:hAnsi="Times New Roman" w:eastAsia="Calibri" w:cs="Times New Roman"/>
                <w:color w:val="auto"/>
                <w:sz w:val="20"/>
                <w:szCs w:val="20"/>
                <w:lang w:val="kk-KZ" w:eastAsia="kk-KZ"/>
              </w:rPr>
              <w:t>Жабдық бастапқы функциясын орындауды жалғастырады; қосылғаннан кейін баптаулар жоғалмаған, қайта тіркеу немесе оқиғалардың қайталануы туындамаған.</w:t>
            </w:r>
          </w:p>
        </w:tc>
      </w:tr>
      <w:tr w14:paraId="19A63C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3" w:type="pct"/>
            <w:tcMar>
              <w:top w:w="80" w:type="dxa"/>
              <w:left w:w="120" w:type="dxa"/>
              <w:bottom w:w="80" w:type="dxa"/>
              <w:right w:w="120" w:type="dxa"/>
            </w:tcMar>
            <w:vAlign w:val="center"/>
          </w:tcPr>
          <w:p w14:paraId="38A0927E">
            <w:pPr>
              <w:pStyle w:val="166"/>
              <w:spacing w:line="240" w:lineRule="auto"/>
              <w:rPr>
                <w:rFonts w:ascii="Times New Roman" w:hAnsi="Times New Roman" w:cs="Times New Roman"/>
                <w:color w:val="auto"/>
                <w:sz w:val="20"/>
                <w:szCs w:val="20"/>
              </w:rPr>
            </w:pPr>
            <w:r>
              <w:rPr>
                <w:rFonts w:ascii="Times New Roman" w:hAnsi="Times New Roman" w:eastAsia="Calibri" w:cs="Times New Roman"/>
                <w:color w:val="auto"/>
                <w:sz w:val="20"/>
                <w:szCs w:val="20"/>
                <w:lang w:val="kk-KZ" w:eastAsia="kk-KZ"/>
              </w:rPr>
              <w:t>Лицензиялық қолжетімділік</w:t>
            </w:r>
          </w:p>
        </w:tc>
        <w:tc>
          <w:tcPr>
            <w:tcW w:w="3727" w:type="pct"/>
            <w:tcMar>
              <w:top w:w="80" w:type="dxa"/>
              <w:left w:w="120" w:type="dxa"/>
              <w:bottom w:w="80" w:type="dxa"/>
              <w:right w:w="120" w:type="dxa"/>
            </w:tcMar>
            <w:vAlign w:val="center"/>
          </w:tcPr>
          <w:p w14:paraId="0320BAAD">
            <w:pPr>
              <w:pStyle w:val="166"/>
              <w:spacing w:line="240" w:lineRule="auto"/>
              <w:rPr>
                <w:rFonts w:ascii="Times New Roman" w:hAnsi="Times New Roman" w:cs="Times New Roman"/>
                <w:color w:val="auto"/>
                <w:sz w:val="20"/>
                <w:szCs w:val="20"/>
              </w:rPr>
            </w:pPr>
            <w:r>
              <w:rPr>
                <w:rFonts w:ascii="Times New Roman" w:hAnsi="Times New Roman" w:eastAsia="Calibri" w:cs="Times New Roman"/>
                <w:color w:val="auto"/>
                <w:sz w:val="20"/>
                <w:szCs w:val="20"/>
                <w:lang w:val="kk-KZ" w:eastAsia="kk-KZ"/>
              </w:rPr>
              <w:t>Тапсырыс берушінің есептік жазбасы белсенді; қолжетімділік мерзімі 31.12.2026 жылға дейін көрсетіледі; қажет болған жағдайда Өнім берушінің өкілеттіктерін Құқық иеленуші растаған.</w:t>
            </w:r>
          </w:p>
        </w:tc>
      </w:tr>
      <w:tr w14:paraId="536F73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3" w:type="pct"/>
            <w:tcMar>
              <w:top w:w="80" w:type="dxa"/>
              <w:left w:w="120" w:type="dxa"/>
              <w:bottom w:w="80" w:type="dxa"/>
              <w:right w:w="120" w:type="dxa"/>
            </w:tcMar>
            <w:vAlign w:val="center"/>
          </w:tcPr>
          <w:p w14:paraId="196F3A1D">
            <w:pPr>
              <w:pStyle w:val="166"/>
              <w:spacing w:line="240" w:lineRule="auto"/>
              <w:rPr>
                <w:rFonts w:ascii="Times New Roman" w:hAnsi="Times New Roman" w:cs="Times New Roman"/>
                <w:color w:val="auto"/>
                <w:sz w:val="20"/>
                <w:szCs w:val="20"/>
              </w:rPr>
            </w:pPr>
            <w:r>
              <w:rPr>
                <w:rFonts w:ascii="Times New Roman" w:hAnsi="Times New Roman" w:eastAsia="Calibri" w:cs="Times New Roman"/>
                <w:color w:val="auto"/>
                <w:sz w:val="20"/>
                <w:szCs w:val="20"/>
                <w:lang w:val="kk-KZ" w:eastAsia="kk-KZ"/>
              </w:rPr>
              <w:t>«Әлеуметтік әмиян» АЖ-мен алмасу</w:t>
            </w:r>
          </w:p>
        </w:tc>
        <w:tc>
          <w:tcPr>
            <w:tcW w:w="3727" w:type="pct"/>
            <w:tcMar>
              <w:top w:w="80" w:type="dxa"/>
              <w:left w:w="120" w:type="dxa"/>
              <w:bottom w:w="80" w:type="dxa"/>
              <w:right w:w="120" w:type="dxa"/>
            </w:tcMar>
            <w:vAlign w:val="center"/>
          </w:tcPr>
          <w:p w14:paraId="5B151910">
            <w:pPr>
              <w:pStyle w:val="166"/>
              <w:spacing w:line="240" w:lineRule="auto"/>
              <w:rPr>
                <w:rFonts w:ascii="Times New Roman" w:hAnsi="Times New Roman" w:cs="Times New Roman"/>
                <w:color w:val="auto"/>
                <w:sz w:val="20"/>
                <w:szCs w:val="20"/>
              </w:rPr>
            </w:pPr>
            <w:r>
              <w:rPr>
                <w:rFonts w:ascii="Times New Roman" w:hAnsi="Times New Roman" w:eastAsia="Calibri" w:cs="Times New Roman"/>
                <w:color w:val="auto"/>
                <w:sz w:val="20"/>
                <w:szCs w:val="20"/>
                <w:lang w:val="kk-KZ" w:eastAsia="kk-KZ"/>
              </w:rPr>
              <w:t>Бақылау оқиғасы өнеркәсіптік контурда қабылданған және пайдаланушымен, ұйыммен, жабдықпен, күнімен және уақытымен салыстырылуы мүмкін.</w:t>
            </w:r>
          </w:p>
        </w:tc>
      </w:tr>
      <w:tr w14:paraId="500D7D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3" w:type="pct"/>
            <w:tcMar>
              <w:top w:w="80" w:type="dxa"/>
              <w:left w:w="120" w:type="dxa"/>
              <w:bottom w:w="80" w:type="dxa"/>
              <w:right w:w="120" w:type="dxa"/>
            </w:tcMar>
            <w:vAlign w:val="center"/>
          </w:tcPr>
          <w:p w14:paraId="75A70771">
            <w:pPr>
              <w:pStyle w:val="166"/>
              <w:spacing w:line="240" w:lineRule="auto"/>
              <w:rPr>
                <w:rFonts w:ascii="Times New Roman" w:hAnsi="Times New Roman" w:cs="Times New Roman"/>
                <w:color w:val="auto"/>
                <w:sz w:val="20"/>
                <w:szCs w:val="20"/>
              </w:rPr>
            </w:pPr>
            <w:r>
              <w:rPr>
                <w:rFonts w:ascii="Times New Roman" w:hAnsi="Times New Roman" w:eastAsia="Calibri" w:cs="Times New Roman"/>
                <w:color w:val="auto"/>
                <w:sz w:val="20"/>
                <w:szCs w:val="20"/>
                <w:lang w:val="kk-KZ" w:eastAsia="kk-KZ"/>
              </w:rPr>
              <w:t>Функционал және қолдау</w:t>
            </w:r>
          </w:p>
        </w:tc>
        <w:tc>
          <w:tcPr>
            <w:tcW w:w="3727" w:type="pct"/>
            <w:tcMar>
              <w:top w:w="80" w:type="dxa"/>
              <w:left w:w="120" w:type="dxa"/>
              <w:bottom w:w="80" w:type="dxa"/>
              <w:right w:w="120" w:type="dxa"/>
            </w:tcMar>
            <w:vAlign w:val="center"/>
          </w:tcPr>
          <w:p w14:paraId="23D57C47">
            <w:pPr>
              <w:pStyle w:val="166"/>
              <w:spacing w:line="240" w:lineRule="auto"/>
              <w:rPr>
                <w:rFonts w:ascii="Times New Roman" w:hAnsi="Times New Roman" w:cs="Times New Roman"/>
                <w:color w:val="auto"/>
                <w:sz w:val="20"/>
                <w:szCs w:val="20"/>
              </w:rPr>
            </w:pPr>
            <w:r>
              <w:rPr>
                <w:rFonts w:ascii="Times New Roman" w:hAnsi="Times New Roman" w:eastAsia="Calibri" w:cs="Times New Roman"/>
                <w:color w:val="auto"/>
                <w:sz w:val="20"/>
                <w:szCs w:val="20"/>
                <w:lang w:val="kk-KZ" w:eastAsia="kk-KZ"/>
              </w:rPr>
              <w:t>Кабинет, есептер, мониторинг және көзделген модульдер ашылған; өтініш беру арналары мен жауапты сертификатталған маман тіркелген.</w:t>
            </w:r>
          </w:p>
        </w:tc>
      </w:tr>
      <w:tr w14:paraId="7FFC9C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3" w:type="pct"/>
            <w:tcMar>
              <w:top w:w="80" w:type="dxa"/>
              <w:left w:w="120" w:type="dxa"/>
              <w:bottom w:w="80" w:type="dxa"/>
              <w:right w:w="120" w:type="dxa"/>
            </w:tcMar>
            <w:vAlign w:val="center"/>
          </w:tcPr>
          <w:p w14:paraId="30A571B3">
            <w:pPr>
              <w:pStyle w:val="166"/>
              <w:spacing w:line="240" w:lineRule="auto"/>
              <w:rPr>
                <w:rFonts w:ascii="Times New Roman" w:hAnsi="Times New Roman" w:cs="Times New Roman"/>
                <w:color w:val="auto"/>
                <w:sz w:val="20"/>
                <w:szCs w:val="20"/>
              </w:rPr>
            </w:pPr>
            <w:r>
              <w:rPr>
                <w:rFonts w:ascii="Times New Roman" w:hAnsi="Times New Roman" w:eastAsia="Calibri" w:cs="Times New Roman"/>
                <w:color w:val="auto"/>
                <w:sz w:val="20"/>
                <w:szCs w:val="20"/>
                <w:lang w:val="kk-KZ" w:eastAsia="kk-KZ"/>
              </w:rPr>
              <w:t>Құжаттар топтамасы</w:t>
            </w:r>
          </w:p>
        </w:tc>
        <w:tc>
          <w:tcPr>
            <w:tcW w:w="3727" w:type="pct"/>
            <w:tcMar>
              <w:top w:w="80" w:type="dxa"/>
              <w:left w:w="120" w:type="dxa"/>
              <w:bottom w:w="80" w:type="dxa"/>
              <w:right w:w="120" w:type="dxa"/>
            </w:tcMar>
            <w:vAlign w:val="center"/>
          </w:tcPr>
          <w:p w14:paraId="5607B020">
            <w:pPr>
              <w:pStyle w:val="166"/>
              <w:spacing w:line="240" w:lineRule="auto"/>
              <w:rPr>
                <w:rFonts w:ascii="Times New Roman" w:hAnsi="Times New Roman" w:cs="Times New Roman"/>
                <w:color w:val="auto"/>
                <w:sz w:val="20"/>
                <w:szCs w:val="20"/>
              </w:rPr>
            </w:pPr>
            <w:r>
              <w:rPr>
                <w:rFonts w:ascii="Times New Roman" w:hAnsi="Times New Roman" w:eastAsia="Calibri" w:cs="Times New Roman"/>
                <w:color w:val="auto"/>
                <w:sz w:val="20"/>
                <w:szCs w:val="20"/>
                <w:lang w:val="kk-KZ" w:eastAsia="kk-KZ"/>
              </w:rPr>
              <w:t>Тізілімнен үзінді көшірме, хаттамалар, интеграцияны, лицензияны және сүйемелдеудің басталуын растау алынған; осыдан кейін бірыңғай электрондық акт ресімделеді.</w:t>
            </w:r>
          </w:p>
        </w:tc>
      </w:tr>
    </w:tbl>
    <w:p w14:paraId="18FE9C65">
      <w:pPr>
        <w:spacing w:after="0" w:line="240" w:lineRule="auto"/>
        <w:jc w:val="both"/>
        <w:rPr>
          <w:rFonts w:ascii="Times New Roman" w:hAnsi="Times New Roman" w:cs="Times New Roman"/>
          <w:color w:val="auto"/>
          <w:sz w:val="20"/>
          <w:szCs w:val="20"/>
          <w:lang w:val="kk-KZ"/>
        </w:rPr>
      </w:pPr>
      <w:r>
        <w:rPr>
          <w:rFonts w:ascii="Times New Roman" w:hAnsi="Times New Roman" w:cs="Times New Roman"/>
          <w:color w:val="auto"/>
          <w:sz w:val="20"/>
          <w:szCs w:val="20"/>
          <w:lang w:val="kk-KZ" w:eastAsia="kk-KZ"/>
        </w:rPr>
        <w:t>8.2. Тапсырыс беруші тексеруді ұсынылған есептік жазбада тікелей жүргізеді және лицензияны растау үшін Құқық иеленушіге жүгінуге құқылы. Алмасуды тексеру бақылау оқиғасы немесе өнеркәсіптік контурдағы жазба бойынша орындалады. Анықталған сәйкессіздік актіге қол қойылғанға дейін жойылуға тиіс.</w:t>
      </w:r>
    </w:p>
    <w:p w14:paraId="7AC292A6">
      <w:pPr>
        <w:spacing w:after="0" w:line="240" w:lineRule="auto"/>
        <w:jc w:val="both"/>
        <w:rPr>
          <w:rFonts w:ascii="Times New Roman" w:hAnsi="Times New Roman" w:cs="Times New Roman"/>
          <w:color w:val="auto"/>
          <w:sz w:val="20"/>
          <w:szCs w:val="20"/>
          <w:lang w:val="kk-KZ"/>
        </w:rPr>
      </w:pPr>
      <w:r>
        <w:rPr>
          <w:rFonts w:ascii="Times New Roman" w:hAnsi="Times New Roman" w:cs="Times New Roman"/>
          <w:color w:val="auto"/>
          <w:sz w:val="20"/>
          <w:szCs w:val="20"/>
          <w:lang w:val="kk-KZ" w:eastAsia="kk-KZ"/>
        </w:rPr>
        <w:t>8.3. Нәтиже бойынша кешенді қызметке бір электрондық акт ресімделеді. Төлем интеграциялау, лицензияны іске қосу және сүйемелдеуді бастау аяқталғаннан кейін бір сомамен жүргізіледі. Актіге қол қою Өнім берушінің 2026 жылғы 31 желтоқсанды қоса алғанда қолжетімділікті, интеграцияның жұмысқа қабілеттілігін және техникалық қолдауды қамтамасыз ету міндетін тоқтатпайды.</w:t>
      </w:r>
    </w:p>
    <w:p w14:paraId="1580E0D8">
      <w:pPr>
        <w:pStyle w:val="2"/>
        <w:spacing w:before="0" w:after="0"/>
        <w:rPr>
          <w:rFonts w:ascii="Times New Roman" w:hAnsi="Times New Roman" w:eastAsia="Calibri" w:cs="Times New Roman"/>
          <w:color w:val="auto"/>
          <w:sz w:val="20"/>
          <w:szCs w:val="20"/>
          <w:lang w:val="kk-KZ"/>
        </w:rPr>
      </w:pPr>
    </w:p>
    <w:p w14:paraId="0C3E7FBC">
      <w:pPr>
        <w:pStyle w:val="2"/>
        <w:spacing w:before="0" w:after="0"/>
        <w:jc w:val="center"/>
        <w:rPr>
          <w:rFonts w:ascii="Times New Roman" w:hAnsi="Times New Roman" w:cs="Times New Roman"/>
          <w:color w:val="auto"/>
          <w:sz w:val="20"/>
          <w:szCs w:val="20"/>
          <w:lang w:val="kk-KZ"/>
        </w:rPr>
      </w:pPr>
      <w:r>
        <w:rPr>
          <w:rFonts w:ascii="Times New Roman" w:hAnsi="Times New Roman" w:eastAsia="Calibri" w:cs="Times New Roman"/>
          <w:color w:val="auto"/>
          <w:sz w:val="20"/>
          <w:szCs w:val="20"/>
          <w:lang w:val="kk-KZ" w:eastAsia="kk-KZ"/>
        </w:rPr>
        <w:t>9. Тараптардың жауапкершілік шектері</w:t>
      </w:r>
    </w:p>
    <w:p w14:paraId="54B70ACA">
      <w:pPr>
        <w:spacing w:after="0" w:line="240" w:lineRule="auto"/>
        <w:jc w:val="both"/>
        <w:rPr>
          <w:rFonts w:ascii="Times New Roman" w:hAnsi="Times New Roman" w:cs="Times New Roman"/>
          <w:color w:val="auto"/>
          <w:sz w:val="20"/>
          <w:szCs w:val="20"/>
          <w:lang w:val="kk-KZ"/>
        </w:rPr>
      </w:pPr>
      <w:r>
        <w:rPr>
          <w:rFonts w:ascii="Times New Roman" w:hAnsi="Times New Roman" w:cs="Times New Roman"/>
          <w:color w:val="auto"/>
          <w:sz w:val="20"/>
          <w:szCs w:val="20"/>
          <w:lang w:val="kk-KZ" w:eastAsia="kk-KZ"/>
        </w:rPr>
        <w:t>Қызмет құнына жабдықты, терминалдарды, қуат көздерін, жинақтауыштарды және өзге де материалдық құндылықтарды жеткізу немесе ауыстыру кірмейді: Өнім беруші іс жүзінде орнатылған АБК-ға диагностикалау, баптау, қосылымдарды тексеру және бағдарламалық өзара іс-қимылды қалпына келтіру шегінде қызмет көрсетеді. Механикалық зақымданудан кейін жөндеу, ақаулы бөлшектерді ауыстыру, кабельдерді төсеу, электрмен қоректендіруді жөндеу және Тапсырыс берушінің жергілікті желісін қалпына келтіру тек Тапсырыс берушінің жеке шешімі негізінде орындалады және осы шарттың нысанасына жатпайды. Шартта жаңа модульдерге жабдық сатып алу, «Әлеуметтік әмиян» АЖ-дан басқа жүйелермен интеграциялар жасау немесе басқа ұйымдарға лицензия беру де көзделмейді; платформадағы функционалдық модульдердің қолжетімді болуы оларды аппараттық жабдықтау міндетін білдірмейді. Өнім беруші байланыс қызметтеріне ақы төлемейді және сыртқы оператордың немесе мемлекеттік жүйенің расталған ақауынан туындаған іркілістің ұзақтығына жауап бермейді, алайда проблеманы диагностикалауға, Тапсырыс берушіні хабардар етуге және алмасуды қалпына келтіруге жәрдемдесуге міндетті.</w:t>
      </w:r>
    </w:p>
    <w:p w14:paraId="0D25C9C4">
      <w:pPr>
        <w:pStyle w:val="2"/>
        <w:spacing w:before="0" w:after="0"/>
        <w:rPr>
          <w:rFonts w:ascii="Times New Roman" w:hAnsi="Times New Roman" w:eastAsia="Calibri" w:cs="Times New Roman"/>
          <w:color w:val="auto"/>
          <w:sz w:val="20"/>
          <w:szCs w:val="20"/>
          <w:lang w:val="kk-KZ"/>
        </w:rPr>
      </w:pPr>
    </w:p>
    <w:p w14:paraId="7DBA2AA2">
      <w:pPr>
        <w:pStyle w:val="2"/>
        <w:spacing w:before="0" w:after="0"/>
        <w:jc w:val="center"/>
        <w:rPr>
          <w:rFonts w:ascii="Times New Roman" w:hAnsi="Times New Roman" w:cs="Times New Roman"/>
          <w:color w:val="auto"/>
          <w:sz w:val="20"/>
          <w:szCs w:val="20"/>
          <w:lang w:val="kk-KZ"/>
        </w:rPr>
      </w:pPr>
      <w:r>
        <w:rPr>
          <w:rFonts w:ascii="Times New Roman" w:hAnsi="Times New Roman" w:eastAsia="Calibri" w:cs="Times New Roman"/>
          <w:color w:val="auto"/>
          <w:sz w:val="20"/>
          <w:szCs w:val="20"/>
          <w:lang w:val="kk-KZ" w:eastAsia="kk-KZ"/>
        </w:rPr>
        <w:t>10. Орындау қорытындысы бойынша жүйенің жай-күйі</w:t>
      </w:r>
    </w:p>
    <w:p w14:paraId="6A027F29">
      <w:pPr>
        <w:keepLines/>
        <w:spacing w:after="0" w:line="240" w:lineRule="auto"/>
        <w:jc w:val="both"/>
        <w:rPr>
          <w:rFonts w:ascii="Times New Roman" w:hAnsi="Times New Roman" w:cs="Times New Roman"/>
          <w:color w:val="auto"/>
          <w:sz w:val="20"/>
          <w:szCs w:val="20"/>
          <w:lang w:val="kk-KZ"/>
        </w:rPr>
      </w:pPr>
      <w:r>
        <w:rPr>
          <w:rFonts w:ascii="Times New Roman" w:hAnsi="Times New Roman" w:cs="Times New Roman"/>
          <w:color w:val="auto"/>
          <w:sz w:val="20"/>
          <w:szCs w:val="20"/>
          <w:lang w:val="kk-KZ" w:eastAsia="kk-KZ"/>
        </w:rPr>
        <w:t>Шарт орындалғаннан кейін Тапсырыс берушіде орнатылған АБК мақсаты бойынша пайдаланылуын жалғастырады және расталған тамақтану оқиғаларын бұлттық платформа мен «Әлеуметтік әмиян» АЖ-ға береді. Тапсырыс беруші 2026 жылғы 31 желтоқсанды қоса алғанда кеңейтілген функционалға лицензиялық қолжетімділік алады, ал Өнім беруші шарт аяқталғанға дейін техникалық қызмет көрсету мен қолдауды қамтамасыз етеді.</w:t>
      </w:r>
    </w:p>
    <w:p w14:paraId="490B26D1">
      <w:pPr>
        <w:pStyle w:val="25"/>
        <w:spacing w:after="0"/>
        <w:jc w:val="center"/>
        <w:rPr>
          <w:rFonts w:ascii="Times New Roman" w:hAnsi="Times New Roman" w:eastAsia="Calibri" w:cs="Times New Roman"/>
          <w:color w:val="auto"/>
          <w:sz w:val="20"/>
          <w:szCs w:val="20"/>
          <w:lang w:val="kk-KZ"/>
        </w:rPr>
      </w:pPr>
    </w:p>
    <w:p w14:paraId="7F49B51C">
      <w:pPr>
        <w:pStyle w:val="25"/>
        <w:spacing w:after="0"/>
        <w:jc w:val="center"/>
        <w:rPr>
          <w:rFonts w:ascii="Times New Roman" w:hAnsi="Times New Roman" w:eastAsia="Calibri" w:cs="Times New Roman"/>
          <w:color w:val="auto"/>
          <w:sz w:val="20"/>
          <w:szCs w:val="20"/>
          <w:lang w:val="kk-KZ"/>
        </w:rPr>
      </w:pPr>
    </w:p>
    <w:p w14:paraId="49B5EA4F">
      <w:pPr>
        <w:pStyle w:val="25"/>
        <w:spacing w:after="0"/>
        <w:jc w:val="center"/>
        <w:rPr>
          <w:rFonts w:ascii="Times New Roman" w:hAnsi="Times New Roman" w:eastAsia="Calibri" w:cs="Times New Roman"/>
          <w:color w:val="auto"/>
          <w:sz w:val="20"/>
          <w:szCs w:val="20"/>
          <w:lang w:val="kk-KZ"/>
        </w:rPr>
      </w:pPr>
    </w:p>
    <w:p w14:paraId="62EAAB58">
      <w:pPr>
        <w:pStyle w:val="25"/>
        <w:spacing w:after="0"/>
        <w:jc w:val="center"/>
        <w:rPr>
          <w:rFonts w:ascii="Times New Roman" w:hAnsi="Times New Roman" w:eastAsia="Calibri" w:cs="Times New Roman"/>
          <w:color w:val="auto"/>
          <w:sz w:val="20"/>
          <w:szCs w:val="20"/>
          <w:lang w:val="kk-KZ"/>
        </w:rPr>
      </w:pPr>
    </w:p>
    <w:p w14:paraId="5FBC3638">
      <w:pPr>
        <w:pStyle w:val="25"/>
        <w:spacing w:after="0"/>
        <w:jc w:val="center"/>
        <w:rPr>
          <w:rFonts w:ascii="Times New Roman" w:hAnsi="Times New Roman" w:eastAsia="Calibri" w:cs="Times New Roman"/>
          <w:color w:val="auto"/>
          <w:sz w:val="20"/>
          <w:szCs w:val="20"/>
          <w:lang w:val="kk-KZ"/>
        </w:rPr>
      </w:pPr>
    </w:p>
    <w:p w14:paraId="5278E7B9">
      <w:pPr>
        <w:pStyle w:val="25"/>
        <w:spacing w:after="0"/>
        <w:jc w:val="center"/>
        <w:rPr>
          <w:rFonts w:ascii="Times New Roman" w:hAnsi="Times New Roman" w:eastAsia="Calibri" w:cs="Times New Roman"/>
          <w:color w:val="auto"/>
          <w:sz w:val="20"/>
          <w:szCs w:val="20"/>
          <w:lang w:val="kk-KZ"/>
        </w:rPr>
      </w:pPr>
    </w:p>
    <w:p w14:paraId="035E74D5">
      <w:pPr>
        <w:pStyle w:val="25"/>
        <w:spacing w:after="0"/>
        <w:jc w:val="center"/>
        <w:rPr>
          <w:rFonts w:ascii="Times New Roman" w:hAnsi="Times New Roman" w:eastAsia="Calibri" w:cs="Times New Roman"/>
          <w:color w:val="auto"/>
          <w:sz w:val="20"/>
          <w:szCs w:val="20"/>
          <w:lang w:val="kk-KZ"/>
        </w:rPr>
      </w:pPr>
    </w:p>
    <w:p w14:paraId="59B4D3F0">
      <w:pPr>
        <w:pStyle w:val="25"/>
        <w:spacing w:after="0"/>
        <w:jc w:val="center"/>
        <w:rPr>
          <w:rFonts w:ascii="Times New Roman" w:hAnsi="Times New Roman" w:eastAsia="Calibri" w:cs="Times New Roman"/>
          <w:color w:val="auto"/>
          <w:sz w:val="20"/>
          <w:szCs w:val="20"/>
          <w:lang w:val="kk-KZ"/>
        </w:rPr>
      </w:pPr>
    </w:p>
    <w:p w14:paraId="09337FBF">
      <w:pPr>
        <w:pStyle w:val="25"/>
        <w:spacing w:after="0"/>
        <w:jc w:val="center"/>
        <w:rPr>
          <w:rFonts w:ascii="Times New Roman" w:hAnsi="Times New Roman" w:eastAsia="Calibri" w:cs="Times New Roman"/>
          <w:color w:val="auto"/>
          <w:sz w:val="20"/>
          <w:szCs w:val="20"/>
          <w:lang w:val="kk-KZ"/>
        </w:rPr>
      </w:pPr>
    </w:p>
    <w:p w14:paraId="17B888E6">
      <w:pPr>
        <w:pStyle w:val="25"/>
        <w:spacing w:after="0"/>
        <w:jc w:val="center"/>
        <w:rPr>
          <w:rFonts w:ascii="Times New Roman" w:hAnsi="Times New Roman" w:eastAsia="Calibri" w:cs="Times New Roman"/>
          <w:color w:val="auto"/>
          <w:sz w:val="20"/>
          <w:szCs w:val="20"/>
          <w:lang w:val="kk-KZ"/>
        </w:rPr>
      </w:pPr>
    </w:p>
    <w:p w14:paraId="1D68901C">
      <w:pPr>
        <w:pStyle w:val="25"/>
        <w:spacing w:after="0"/>
        <w:jc w:val="center"/>
        <w:rPr>
          <w:rFonts w:ascii="Times New Roman" w:hAnsi="Times New Roman" w:eastAsia="Calibri" w:cs="Times New Roman"/>
          <w:color w:val="auto"/>
          <w:sz w:val="20"/>
          <w:szCs w:val="20"/>
          <w:lang w:val="kk-KZ"/>
        </w:rPr>
      </w:pPr>
    </w:p>
    <w:p w14:paraId="4F6D509F">
      <w:pPr>
        <w:pStyle w:val="25"/>
        <w:spacing w:after="0"/>
        <w:jc w:val="center"/>
        <w:rPr>
          <w:rFonts w:ascii="Times New Roman" w:hAnsi="Times New Roman" w:eastAsia="Calibri" w:cs="Times New Roman"/>
          <w:color w:val="auto"/>
          <w:sz w:val="20"/>
          <w:szCs w:val="20"/>
          <w:lang w:val="kk-KZ"/>
        </w:rPr>
      </w:pPr>
    </w:p>
    <w:p w14:paraId="2FBAC46C">
      <w:pPr>
        <w:pStyle w:val="25"/>
        <w:spacing w:after="0"/>
        <w:jc w:val="center"/>
        <w:rPr>
          <w:rFonts w:ascii="Times New Roman" w:hAnsi="Times New Roman" w:eastAsia="Calibri" w:cs="Times New Roman"/>
          <w:color w:val="auto"/>
          <w:sz w:val="20"/>
          <w:szCs w:val="20"/>
          <w:lang w:val="kk-KZ"/>
        </w:rPr>
      </w:pPr>
    </w:p>
    <w:p w14:paraId="2B0E22DA">
      <w:pPr>
        <w:pStyle w:val="25"/>
        <w:spacing w:after="0"/>
        <w:jc w:val="center"/>
        <w:rPr>
          <w:rFonts w:ascii="Times New Roman" w:hAnsi="Times New Roman" w:eastAsia="Calibri" w:cs="Times New Roman"/>
          <w:color w:val="auto"/>
          <w:sz w:val="20"/>
          <w:szCs w:val="20"/>
          <w:lang w:val="kk-KZ"/>
        </w:rPr>
      </w:pPr>
    </w:p>
    <w:p w14:paraId="585BC0D6">
      <w:pPr>
        <w:pStyle w:val="25"/>
        <w:spacing w:after="0"/>
        <w:jc w:val="center"/>
        <w:rPr>
          <w:rFonts w:ascii="Times New Roman" w:hAnsi="Times New Roman" w:eastAsia="Calibri" w:cs="Times New Roman"/>
          <w:color w:val="auto"/>
          <w:sz w:val="20"/>
          <w:szCs w:val="20"/>
          <w:lang w:val="kk-KZ"/>
        </w:rPr>
      </w:pPr>
    </w:p>
    <w:p w14:paraId="5301C20F">
      <w:pPr>
        <w:pStyle w:val="25"/>
        <w:spacing w:after="0"/>
        <w:ind w:left="7920"/>
        <w:jc w:val="center"/>
        <w:rPr>
          <w:rFonts w:ascii="Times New Roman" w:hAnsi="Times New Roman" w:eastAsia="Calibri" w:cs="Times New Roman"/>
          <w:color w:val="auto"/>
          <w:sz w:val="20"/>
          <w:szCs w:val="20"/>
          <w:lang w:val="kk-KZ"/>
        </w:rPr>
      </w:pPr>
      <w:r>
        <w:rPr>
          <w:rFonts w:ascii="Times New Roman" w:hAnsi="Times New Roman" w:eastAsia="Calibri" w:cs="Times New Roman"/>
          <w:color w:val="auto"/>
          <w:sz w:val="20"/>
          <w:szCs w:val="20"/>
          <w:lang w:val="kk-KZ"/>
        </w:rPr>
        <w:t>Приложение 2</w:t>
      </w:r>
    </w:p>
    <w:p w14:paraId="18BF3158">
      <w:pPr>
        <w:pStyle w:val="25"/>
        <w:spacing w:after="0"/>
        <w:jc w:val="center"/>
        <w:rPr>
          <w:rFonts w:ascii="Times New Roman" w:hAnsi="Times New Roman" w:eastAsia="Calibri" w:cs="Times New Roman"/>
          <w:color w:val="auto"/>
          <w:sz w:val="20"/>
          <w:szCs w:val="20"/>
          <w:lang w:val="kk-KZ"/>
        </w:rPr>
      </w:pPr>
      <w:r>
        <w:rPr>
          <w:rFonts w:ascii="Times New Roman" w:hAnsi="Times New Roman" w:eastAsia="Calibri" w:cs="Times New Roman"/>
          <w:color w:val="auto"/>
          <w:sz w:val="20"/>
          <w:szCs w:val="20"/>
        </w:rPr>
        <w:t>Техническая спецификация</w:t>
      </w:r>
    </w:p>
    <w:p w14:paraId="087EFA58">
      <w:pPr>
        <w:rPr>
          <w:lang w:val="kk-KZ"/>
        </w:rPr>
      </w:pPr>
    </w:p>
    <w:p w14:paraId="79D4BEAD">
      <w:pPr>
        <w:pStyle w:val="164"/>
        <w:spacing w:after="0" w:line="240" w:lineRule="auto"/>
        <w:jc w:val="center"/>
        <w:rPr>
          <w:rFonts w:ascii="Times New Roman" w:hAnsi="Times New Roman" w:eastAsia="Calibri" w:cs="Times New Roman"/>
          <w:sz w:val="20"/>
          <w:szCs w:val="20"/>
        </w:rPr>
      </w:pPr>
      <w:r>
        <w:rPr>
          <w:rFonts w:ascii="Times New Roman" w:hAnsi="Times New Roman" w:eastAsia="Calibri" w:cs="Times New Roman"/>
          <w:sz w:val="20"/>
          <w:szCs w:val="20"/>
        </w:rPr>
        <w:t>Комплексное обеспечение эксплуатации действующего аппаратно-программного комплекса учета бесплатного питания посредством подключения к облачной платформе, предоставления лицензии и технической поддержки</w:t>
      </w:r>
    </w:p>
    <w:p w14:paraId="5AC4AE40">
      <w:pPr>
        <w:pStyle w:val="164"/>
        <w:spacing w:after="0" w:line="240" w:lineRule="auto"/>
        <w:jc w:val="center"/>
        <w:rPr>
          <w:rFonts w:ascii="Times New Roman" w:hAnsi="Times New Roman" w:eastAsia="Calibri" w:cs="Times New Roman"/>
          <w:sz w:val="20"/>
          <w:szCs w:val="20"/>
        </w:rPr>
      </w:pPr>
    </w:p>
    <w:p w14:paraId="4AE4E08F">
      <w:pPr>
        <w:pStyle w:val="164"/>
        <w:spacing w:after="0" w:line="240" w:lineRule="auto"/>
        <w:jc w:val="both"/>
        <w:rPr>
          <w:rFonts w:ascii="Times New Roman" w:hAnsi="Times New Roman" w:eastAsia="Calibri" w:cs="Times New Roman"/>
          <w:sz w:val="20"/>
          <w:szCs w:val="20"/>
          <w:lang w:val="kk-KZ"/>
        </w:rPr>
      </w:pPr>
      <w:r>
        <w:rPr>
          <w:rFonts w:ascii="Times New Roman" w:hAnsi="Times New Roman" w:eastAsia="Calibri" w:cs="Times New Roman"/>
          <w:b/>
          <w:sz w:val="20"/>
          <w:szCs w:val="20"/>
        </w:rPr>
        <w:t>Наименование:</w:t>
      </w:r>
      <w:r>
        <w:rPr>
          <w:rFonts w:ascii="Times New Roman" w:hAnsi="Times New Roman" w:eastAsia="Calibri" w:cs="Times New Roman"/>
          <w:sz w:val="20"/>
          <w:szCs w:val="20"/>
        </w:rPr>
        <w:t xml:space="preserve"> Комплексное обеспечение эксплуатации действующего аппаратно-программного комплекса учета бесплатного питания посредством подключения к облачной платформе, предоставления лицензии и технической поддержки</w:t>
      </w:r>
    </w:p>
    <w:p w14:paraId="0C98F1C0">
      <w:pPr>
        <w:pStyle w:val="164"/>
        <w:spacing w:after="0" w:line="240" w:lineRule="auto"/>
        <w:jc w:val="both"/>
        <w:rPr>
          <w:rFonts w:ascii="Times New Roman" w:hAnsi="Times New Roman" w:cs="Times New Roman"/>
          <w:sz w:val="20"/>
          <w:szCs w:val="20"/>
        </w:rPr>
      </w:pPr>
      <w:r>
        <w:rPr>
          <w:rFonts w:ascii="Times New Roman" w:hAnsi="Times New Roman" w:eastAsia="Calibri" w:cs="Times New Roman"/>
          <w:b/>
          <w:sz w:val="20"/>
          <w:szCs w:val="20"/>
        </w:rPr>
        <w:t>Количество / единица измерения:</w:t>
      </w:r>
      <w:r>
        <w:rPr>
          <w:rFonts w:ascii="Times New Roman" w:hAnsi="Times New Roman" w:eastAsia="Calibri" w:cs="Times New Roman"/>
          <w:sz w:val="20"/>
          <w:szCs w:val="20"/>
        </w:rPr>
        <w:t xml:space="preserve"> 1 / одна услуга</w:t>
      </w:r>
    </w:p>
    <w:p w14:paraId="627F18A8">
      <w:pPr>
        <w:pStyle w:val="164"/>
        <w:spacing w:after="0" w:line="240" w:lineRule="auto"/>
        <w:jc w:val="both"/>
        <w:rPr>
          <w:rFonts w:ascii="Times New Roman" w:hAnsi="Times New Roman" w:cs="Times New Roman"/>
          <w:sz w:val="20"/>
          <w:szCs w:val="20"/>
        </w:rPr>
      </w:pPr>
      <w:r>
        <w:rPr>
          <w:rFonts w:ascii="Times New Roman" w:hAnsi="Times New Roman" w:eastAsia="Calibri" w:cs="Times New Roman"/>
          <w:b/>
          <w:sz w:val="20"/>
          <w:szCs w:val="20"/>
        </w:rPr>
        <w:t>Срок оказания:</w:t>
      </w:r>
      <w:r>
        <w:rPr>
          <w:rFonts w:ascii="Times New Roman" w:hAnsi="Times New Roman" w:eastAsia="Calibri" w:cs="Times New Roman"/>
          <w:sz w:val="20"/>
          <w:szCs w:val="20"/>
        </w:rPr>
        <w:t xml:space="preserve"> с даты вступления договора в силу по 31 декабря 2026 года включительно</w:t>
      </w:r>
    </w:p>
    <w:p w14:paraId="40E1D0EE">
      <w:pPr>
        <w:pStyle w:val="164"/>
        <w:spacing w:after="0" w:line="240" w:lineRule="auto"/>
        <w:jc w:val="both"/>
        <w:rPr>
          <w:rFonts w:ascii="Times New Roman" w:hAnsi="Times New Roman" w:cs="Times New Roman"/>
          <w:sz w:val="20"/>
          <w:szCs w:val="20"/>
        </w:rPr>
      </w:pPr>
      <w:r>
        <w:rPr>
          <w:rFonts w:ascii="Times New Roman" w:hAnsi="Times New Roman" w:eastAsia="Calibri" w:cs="Times New Roman"/>
          <w:b/>
          <w:sz w:val="20"/>
          <w:szCs w:val="20"/>
        </w:rPr>
        <w:t>Место оказания:</w:t>
      </w:r>
      <w:r>
        <w:rPr>
          <w:rFonts w:ascii="Times New Roman" w:hAnsi="Times New Roman" w:eastAsia="Calibri" w:cs="Times New Roman"/>
          <w:sz w:val="20"/>
          <w:szCs w:val="20"/>
        </w:rPr>
        <w:t xml:space="preserve"> по месту нахождения Заказчика и дистанционно посредством облачной платформы. Количество обслуживаемого оборудования: </w:t>
      </w:r>
      <w:r>
        <w:rPr>
          <w:rFonts w:ascii="Times New Roman" w:hAnsi="Times New Roman" w:eastAsia="Calibri" w:cs="Times New Roman"/>
          <w:sz w:val="20"/>
          <w:szCs w:val="20"/>
          <w:lang w:val="kk-KZ"/>
        </w:rPr>
        <w:t>1</w:t>
      </w:r>
      <w:r>
        <w:rPr>
          <w:rFonts w:ascii="Times New Roman" w:hAnsi="Times New Roman" w:eastAsia="Calibri" w:cs="Times New Roman"/>
          <w:sz w:val="20"/>
          <w:szCs w:val="20"/>
        </w:rPr>
        <w:t xml:space="preserve"> единиц. Производитель и модель: ___ (указываются Заказчиком при необходимости)</w:t>
      </w:r>
    </w:p>
    <w:p w14:paraId="32190384">
      <w:pPr>
        <w:pStyle w:val="165"/>
        <w:keepLines/>
        <w:spacing w:before="0" w:after="0" w:line="240" w:lineRule="auto"/>
        <w:ind w:right="180"/>
        <w:jc w:val="both"/>
        <w:rPr>
          <w:rFonts w:ascii="Times New Roman" w:hAnsi="Times New Roman" w:cs="Times New Roman"/>
          <w:sz w:val="20"/>
          <w:szCs w:val="20"/>
        </w:rPr>
      </w:pPr>
      <w:r>
        <w:rPr>
          <w:rFonts w:ascii="Times New Roman" w:hAnsi="Times New Roman" w:eastAsia="Calibri" w:cs="Times New Roman"/>
          <w:b/>
          <w:sz w:val="20"/>
          <w:szCs w:val="20"/>
        </w:rPr>
        <w:t>Единый результат закупки.</w:t>
      </w:r>
      <w:r>
        <w:rPr>
          <w:rFonts w:ascii="Times New Roman" w:hAnsi="Times New Roman" w:eastAsia="Calibri" w:cs="Times New Roman"/>
          <w:sz w:val="20"/>
          <w:szCs w:val="20"/>
        </w:rPr>
        <w:t xml:space="preserve"> Заказчик приобретает не отдельные работы и лицензии, а готовый эксплуатационный результат: действующее оборудование подключено к облачной платформе, события питания передаются в ИС «Социальный кошелек», доступ к функционалу активирован, а поддержка обеспечивается до окончания установленного срока. Все составляющие включаются в стоимость одного лота.</w:t>
      </w:r>
    </w:p>
    <w:p w14:paraId="7A8DE331">
      <w:pPr>
        <w:pStyle w:val="2"/>
        <w:spacing w:before="0" w:after="0"/>
        <w:jc w:val="both"/>
        <w:rPr>
          <w:rFonts w:ascii="Times New Roman" w:hAnsi="Times New Roman" w:eastAsia="Calibri" w:cs="Times New Roman"/>
          <w:color w:val="auto"/>
          <w:sz w:val="20"/>
          <w:szCs w:val="20"/>
        </w:rPr>
      </w:pPr>
    </w:p>
    <w:p w14:paraId="04A8BC9E">
      <w:pPr>
        <w:pStyle w:val="2"/>
        <w:spacing w:before="0" w:after="0"/>
        <w:jc w:val="center"/>
        <w:rPr>
          <w:rFonts w:ascii="Times New Roman" w:hAnsi="Times New Roman" w:cs="Times New Roman"/>
          <w:color w:val="auto"/>
          <w:sz w:val="20"/>
          <w:szCs w:val="20"/>
        </w:rPr>
      </w:pPr>
      <w:r>
        <w:rPr>
          <w:rFonts w:ascii="Times New Roman" w:hAnsi="Times New Roman" w:eastAsia="Calibri" w:cs="Times New Roman"/>
          <w:color w:val="auto"/>
          <w:sz w:val="20"/>
          <w:szCs w:val="20"/>
        </w:rPr>
        <w:t>1. Исходные условия и цель закупки</w:t>
      </w:r>
    </w:p>
    <w:p w14:paraId="5858AED2">
      <w:pPr>
        <w:spacing w:after="0" w:line="240" w:lineRule="auto"/>
        <w:jc w:val="both"/>
        <w:rPr>
          <w:rFonts w:ascii="Times New Roman" w:hAnsi="Times New Roman" w:cs="Times New Roman"/>
          <w:color w:val="auto"/>
          <w:sz w:val="20"/>
          <w:szCs w:val="20"/>
        </w:rPr>
      </w:pPr>
      <w:r>
        <w:rPr>
          <w:rFonts w:ascii="Times New Roman" w:hAnsi="Times New Roman" w:cs="Times New Roman"/>
          <w:color w:val="auto"/>
          <w:sz w:val="20"/>
          <w:szCs w:val="20"/>
        </w:rPr>
        <w:t>1.1. У Заказчика имеется введенный в эксплуатацию аппаратно-программный комплекс, применяемый для регистрации фактов получения бесплатного питания (далее - действующий АПК). Конкретная конфигурация, производитель, модель и способ идентификации определяются фактическим оснащением соответствующей организации образования.</w:t>
      </w:r>
    </w:p>
    <w:p w14:paraId="5D379BAF">
      <w:pPr>
        <w:spacing w:after="0" w:line="240" w:lineRule="auto"/>
        <w:jc w:val="both"/>
        <w:rPr>
          <w:rFonts w:ascii="Times New Roman" w:hAnsi="Times New Roman" w:cs="Times New Roman"/>
          <w:color w:val="auto"/>
          <w:sz w:val="20"/>
          <w:szCs w:val="20"/>
        </w:rPr>
      </w:pPr>
      <w:r>
        <w:rPr>
          <w:rFonts w:ascii="Times New Roman" w:hAnsi="Times New Roman" w:cs="Times New Roman"/>
          <w:color w:val="auto"/>
          <w:sz w:val="20"/>
          <w:szCs w:val="20"/>
        </w:rPr>
        <w:t>1.2. Целью закупки является дальнейшее использование установленного оборудования с более широким набором цифровых функций, централизованной отчетностью и устойчивым промышленным обменом с ИС «Социальный кошелек» без приобретения нового АПК.</w:t>
      </w:r>
    </w:p>
    <w:p w14:paraId="395C69E8">
      <w:pPr>
        <w:spacing w:after="0" w:line="240" w:lineRule="auto"/>
        <w:jc w:val="both"/>
        <w:rPr>
          <w:rFonts w:ascii="Times New Roman" w:hAnsi="Times New Roman" w:cs="Times New Roman"/>
          <w:color w:val="auto"/>
          <w:sz w:val="20"/>
          <w:szCs w:val="20"/>
        </w:rPr>
      </w:pPr>
      <w:r>
        <w:rPr>
          <w:rFonts w:ascii="Times New Roman" w:hAnsi="Times New Roman" w:cs="Times New Roman"/>
          <w:color w:val="auto"/>
          <w:sz w:val="20"/>
          <w:szCs w:val="20"/>
        </w:rPr>
        <w:t>1.3. В рамках договора Поставщик подключает действующий АПК к предоставляемой облачной платформе, активирует лицензионный доступ и принимает на себя техническое обслуживание подключения. Повторная регистрация пользователей и повторный сбор биометрических данных не допускаются, если имеющихся идентификаторов достаточно для обмена.</w:t>
      </w:r>
    </w:p>
    <w:p w14:paraId="2957C140">
      <w:pPr>
        <w:spacing w:after="0" w:line="240" w:lineRule="auto"/>
        <w:jc w:val="both"/>
        <w:rPr>
          <w:rFonts w:ascii="Times New Roman" w:hAnsi="Times New Roman" w:cs="Times New Roman"/>
          <w:color w:val="auto"/>
          <w:sz w:val="20"/>
          <w:szCs w:val="20"/>
        </w:rPr>
      </w:pPr>
      <w:r>
        <w:rPr>
          <w:rFonts w:ascii="Times New Roman" w:hAnsi="Times New Roman" w:cs="Times New Roman"/>
          <w:color w:val="auto"/>
          <w:sz w:val="20"/>
          <w:szCs w:val="20"/>
        </w:rPr>
        <w:t>1.4. Если перед размещением объявления Заказчик заполняет сведения о производителе или модели оборудования, такие сведения служат только для точного определения объекта обслуживания и обеспечения совместимости. Их указание применяется с учетом подпунктов 1) и 3) пункта 5 статьи 12 Закона Республики Казахстан «О государственных закупках».</w:t>
      </w:r>
    </w:p>
    <w:p w14:paraId="5068E871">
      <w:pPr>
        <w:pStyle w:val="2"/>
        <w:spacing w:before="0" w:after="0"/>
        <w:rPr>
          <w:rFonts w:ascii="Times New Roman" w:hAnsi="Times New Roman" w:eastAsia="Calibri" w:cs="Times New Roman"/>
          <w:color w:val="auto"/>
          <w:sz w:val="20"/>
          <w:szCs w:val="20"/>
        </w:rPr>
      </w:pPr>
    </w:p>
    <w:p w14:paraId="269D712B">
      <w:pPr>
        <w:pStyle w:val="2"/>
        <w:spacing w:before="0" w:after="0"/>
        <w:jc w:val="center"/>
        <w:rPr>
          <w:rFonts w:ascii="Times New Roman" w:hAnsi="Times New Roman" w:cs="Times New Roman"/>
          <w:color w:val="auto"/>
          <w:sz w:val="20"/>
          <w:szCs w:val="20"/>
        </w:rPr>
      </w:pPr>
      <w:r>
        <w:rPr>
          <w:rFonts w:ascii="Times New Roman" w:hAnsi="Times New Roman" w:eastAsia="Calibri" w:cs="Times New Roman"/>
          <w:color w:val="auto"/>
          <w:sz w:val="20"/>
          <w:szCs w:val="20"/>
        </w:rPr>
        <w:t>2. Содержание и измеримый результат услуги</w:t>
      </w:r>
    </w:p>
    <w:p w14:paraId="010B4BF4">
      <w:pPr>
        <w:spacing w:after="0" w:line="240" w:lineRule="auto"/>
        <w:jc w:val="both"/>
        <w:rPr>
          <w:rFonts w:ascii="Times New Roman" w:hAnsi="Times New Roman" w:cs="Times New Roman"/>
          <w:color w:val="auto"/>
          <w:sz w:val="20"/>
          <w:szCs w:val="20"/>
        </w:rPr>
      </w:pPr>
      <w:r>
        <w:rPr>
          <w:rFonts w:ascii="Times New Roman" w:hAnsi="Times New Roman" w:cs="Times New Roman"/>
          <w:color w:val="auto"/>
          <w:sz w:val="20"/>
          <w:szCs w:val="20"/>
        </w:rPr>
        <w:t>2.1. Предмет договора образует единая услуга, результат которой достигается совокупным выполнением обследования, интеграции, лицензирования, настройки, эксплуатационного обслуживания и сопровождения. Ни один из названных компонентов не подлежит самостоятельной приемке или отдельной оплате.</w:t>
      </w:r>
    </w:p>
    <w:tbl>
      <w:tblPr>
        <w:tblStyle w:val="12"/>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74"/>
        <w:gridCol w:w="1701"/>
        <w:gridCol w:w="8120"/>
      </w:tblGrid>
      <w:tr w14:paraId="13BBBE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4" w:hRule="atLeast"/>
          <w:tblHeader/>
        </w:trPr>
        <w:tc>
          <w:tcPr>
            <w:tcW w:w="321" w:type="pct"/>
            <w:tcMar>
              <w:top w:w="80" w:type="dxa"/>
              <w:left w:w="120" w:type="dxa"/>
              <w:bottom w:w="80" w:type="dxa"/>
              <w:right w:w="120" w:type="dxa"/>
            </w:tcMar>
            <w:vAlign w:val="center"/>
          </w:tcPr>
          <w:p w14:paraId="296D6E23">
            <w:pPr>
              <w:pStyle w:val="167"/>
              <w:spacing w:line="240" w:lineRule="auto"/>
              <w:jc w:val="center"/>
              <w:rPr>
                <w:rFonts w:ascii="Times New Roman" w:hAnsi="Times New Roman" w:cs="Times New Roman"/>
                <w:b w:val="0"/>
                <w:bCs/>
                <w:color w:val="auto"/>
                <w:sz w:val="20"/>
                <w:szCs w:val="20"/>
              </w:rPr>
            </w:pPr>
            <w:r>
              <w:rPr>
                <w:rFonts w:ascii="Times New Roman" w:hAnsi="Times New Roman" w:eastAsia="Calibri" w:cs="Times New Roman"/>
                <w:bCs/>
                <w:color w:val="auto"/>
                <w:sz w:val="20"/>
                <w:szCs w:val="20"/>
              </w:rPr>
              <w:t>№</w:t>
            </w:r>
          </w:p>
        </w:tc>
        <w:tc>
          <w:tcPr>
            <w:tcW w:w="810" w:type="pct"/>
            <w:tcMar>
              <w:top w:w="80" w:type="dxa"/>
              <w:left w:w="120" w:type="dxa"/>
              <w:bottom w:w="80" w:type="dxa"/>
              <w:right w:w="120" w:type="dxa"/>
            </w:tcMar>
            <w:vAlign w:val="center"/>
          </w:tcPr>
          <w:p w14:paraId="66270BC8">
            <w:pPr>
              <w:pStyle w:val="167"/>
              <w:spacing w:line="240" w:lineRule="auto"/>
              <w:jc w:val="center"/>
              <w:rPr>
                <w:rFonts w:ascii="Times New Roman" w:hAnsi="Times New Roman" w:cs="Times New Roman"/>
                <w:b w:val="0"/>
                <w:bCs/>
                <w:color w:val="auto"/>
                <w:sz w:val="20"/>
                <w:szCs w:val="20"/>
              </w:rPr>
            </w:pPr>
            <w:r>
              <w:rPr>
                <w:rFonts w:ascii="Times New Roman" w:hAnsi="Times New Roman" w:eastAsia="Calibri" w:cs="Times New Roman"/>
                <w:bCs/>
                <w:color w:val="auto"/>
                <w:sz w:val="20"/>
                <w:szCs w:val="20"/>
              </w:rPr>
              <w:t>Содержание</w:t>
            </w:r>
          </w:p>
        </w:tc>
        <w:tc>
          <w:tcPr>
            <w:tcW w:w="3868" w:type="pct"/>
            <w:tcMar>
              <w:top w:w="80" w:type="dxa"/>
              <w:left w:w="120" w:type="dxa"/>
              <w:bottom w:w="80" w:type="dxa"/>
              <w:right w:w="120" w:type="dxa"/>
            </w:tcMar>
            <w:vAlign w:val="center"/>
          </w:tcPr>
          <w:p w14:paraId="02FBDF8C">
            <w:pPr>
              <w:pStyle w:val="167"/>
              <w:spacing w:line="240" w:lineRule="auto"/>
              <w:jc w:val="center"/>
              <w:rPr>
                <w:b w:val="0"/>
                <w:bCs/>
                <w:sz w:val="20"/>
                <w:szCs w:val="20"/>
              </w:rPr>
            </w:pPr>
            <w:r>
              <w:rPr>
                <w:rFonts w:ascii="Times New Roman" w:hAnsi="Times New Roman" w:eastAsia="Calibri" w:cs="Times New Roman"/>
                <w:bCs/>
                <w:color w:val="auto"/>
                <w:sz w:val="20"/>
                <w:szCs w:val="20"/>
              </w:rPr>
              <w:t>Проверяемый результат</w:t>
            </w:r>
          </w:p>
        </w:tc>
      </w:tr>
      <w:tr w14:paraId="7A4F94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321" w:type="pct"/>
            <w:tcMar>
              <w:top w:w="80" w:type="dxa"/>
              <w:left w:w="120" w:type="dxa"/>
              <w:bottom w:w="80" w:type="dxa"/>
              <w:right w:w="120" w:type="dxa"/>
            </w:tcMar>
            <w:vAlign w:val="center"/>
          </w:tcPr>
          <w:p w14:paraId="248BCB07">
            <w:pPr>
              <w:pStyle w:val="166"/>
              <w:spacing w:line="240" w:lineRule="auto"/>
              <w:jc w:val="center"/>
              <w:rPr>
                <w:rFonts w:ascii="Times New Roman" w:hAnsi="Times New Roman" w:cs="Times New Roman"/>
                <w:color w:val="auto"/>
                <w:sz w:val="20"/>
                <w:szCs w:val="20"/>
              </w:rPr>
            </w:pPr>
            <w:r>
              <w:rPr>
                <w:rFonts w:ascii="Times New Roman" w:hAnsi="Times New Roman" w:eastAsia="Calibri" w:cs="Times New Roman"/>
                <w:color w:val="auto"/>
                <w:sz w:val="20"/>
                <w:szCs w:val="20"/>
              </w:rPr>
              <w:t>1</w:t>
            </w:r>
          </w:p>
        </w:tc>
        <w:tc>
          <w:tcPr>
            <w:tcW w:w="810" w:type="pct"/>
            <w:tcMar>
              <w:top w:w="80" w:type="dxa"/>
              <w:left w:w="120" w:type="dxa"/>
              <w:bottom w:w="80" w:type="dxa"/>
              <w:right w:w="120" w:type="dxa"/>
            </w:tcMar>
            <w:vAlign w:val="center"/>
          </w:tcPr>
          <w:p w14:paraId="21F8950D">
            <w:pPr>
              <w:pStyle w:val="166"/>
              <w:spacing w:line="240" w:lineRule="auto"/>
              <w:rPr>
                <w:rFonts w:ascii="Times New Roman" w:hAnsi="Times New Roman" w:cs="Times New Roman"/>
                <w:color w:val="auto"/>
                <w:sz w:val="20"/>
                <w:szCs w:val="20"/>
              </w:rPr>
            </w:pPr>
            <w:r>
              <w:rPr>
                <w:rFonts w:ascii="Times New Roman" w:hAnsi="Times New Roman" w:eastAsia="Calibri" w:cs="Times New Roman"/>
                <w:color w:val="auto"/>
                <w:sz w:val="20"/>
                <w:szCs w:val="20"/>
              </w:rPr>
              <w:t>Обследование</w:t>
            </w:r>
          </w:p>
        </w:tc>
        <w:tc>
          <w:tcPr>
            <w:tcW w:w="3868" w:type="pct"/>
            <w:tcMar>
              <w:top w:w="80" w:type="dxa"/>
              <w:left w:w="120" w:type="dxa"/>
              <w:bottom w:w="80" w:type="dxa"/>
              <w:right w:w="120" w:type="dxa"/>
            </w:tcMar>
            <w:vAlign w:val="center"/>
          </w:tcPr>
          <w:p w14:paraId="587ACE77">
            <w:pPr>
              <w:pStyle w:val="166"/>
              <w:spacing w:line="240" w:lineRule="auto"/>
              <w:rPr>
                <w:sz w:val="20"/>
                <w:szCs w:val="20"/>
              </w:rPr>
            </w:pPr>
            <w:r>
              <w:rPr>
                <w:rFonts w:ascii="Times New Roman" w:hAnsi="Times New Roman" w:eastAsia="Calibri" w:cs="Times New Roman"/>
                <w:color w:val="auto"/>
                <w:sz w:val="20"/>
                <w:szCs w:val="20"/>
              </w:rPr>
              <w:t>Зафиксированы фактическая конфигурация, количество устройств и доступный способ обмена.</w:t>
            </w:r>
          </w:p>
        </w:tc>
      </w:tr>
      <w:tr w14:paraId="144600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321" w:type="pct"/>
            <w:tcMar>
              <w:top w:w="80" w:type="dxa"/>
              <w:left w:w="120" w:type="dxa"/>
              <w:bottom w:w="80" w:type="dxa"/>
              <w:right w:w="120" w:type="dxa"/>
            </w:tcMar>
            <w:vAlign w:val="center"/>
          </w:tcPr>
          <w:p w14:paraId="5A06BA4F">
            <w:pPr>
              <w:pStyle w:val="166"/>
              <w:spacing w:line="240" w:lineRule="auto"/>
              <w:jc w:val="center"/>
              <w:rPr>
                <w:rFonts w:ascii="Times New Roman" w:hAnsi="Times New Roman" w:cs="Times New Roman"/>
                <w:color w:val="auto"/>
                <w:sz w:val="20"/>
                <w:szCs w:val="20"/>
              </w:rPr>
            </w:pPr>
            <w:r>
              <w:rPr>
                <w:rFonts w:ascii="Times New Roman" w:hAnsi="Times New Roman" w:eastAsia="Calibri" w:cs="Times New Roman"/>
                <w:color w:val="auto"/>
                <w:sz w:val="20"/>
                <w:szCs w:val="20"/>
              </w:rPr>
              <w:t>2</w:t>
            </w:r>
          </w:p>
        </w:tc>
        <w:tc>
          <w:tcPr>
            <w:tcW w:w="810" w:type="pct"/>
            <w:tcMar>
              <w:top w:w="80" w:type="dxa"/>
              <w:left w:w="120" w:type="dxa"/>
              <w:bottom w:w="80" w:type="dxa"/>
              <w:right w:w="120" w:type="dxa"/>
            </w:tcMar>
            <w:vAlign w:val="center"/>
          </w:tcPr>
          <w:p w14:paraId="4F265B6A">
            <w:pPr>
              <w:pStyle w:val="166"/>
              <w:spacing w:line="240" w:lineRule="auto"/>
              <w:rPr>
                <w:rFonts w:ascii="Times New Roman" w:hAnsi="Times New Roman" w:cs="Times New Roman"/>
                <w:color w:val="auto"/>
                <w:sz w:val="20"/>
                <w:szCs w:val="20"/>
              </w:rPr>
            </w:pPr>
            <w:r>
              <w:rPr>
                <w:rFonts w:ascii="Times New Roman" w:hAnsi="Times New Roman" w:eastAsia="Calibri" w:cs="Times New Roman"/>
                <w:color w:val="auto"/>
                <w:sz w:val="20"/>
                <w:szCs w:val="20"/>
              </w:rPr>
              <w:t>Подключение АПК</w:t>
            </w:r>
          </w:p>
        </w:tc>
        <w:tc>
          <w:tcPr>
            <w:tcW w:w="3868" w:type="pct"/>
            <w:tcMar>
              <w:top w:w="80" w:type="dxa"/>
              <w:left w:w="120" w:type="dxa"/>
              <w:bottom w:w="80" w:type="dxa"/>
              <w:right w:w="120" w:type="dxa"/>
            </w:tcMar>
            <w:vAlign w:val="center"/>
          </w:tcPr>
          <w:p w14:paraId="0D8DCEDF">
            <w:pPr>
              <w:pStyle w:val="166"/>
              <w:spacing w:line="240" w:lineRule="auto"/>
              <w:rPr>
                <w:rFonts w:ascii="Times New Roman" w:hAnsi="Times New Roman" w:cs="Times New Roman"/>
                <w:color w:val="auto"/>
                <w:sz w:val="20"/>
                <w:szCs w:val="20"/>
              </w:rPr>
            </w:pPr>
            <w:r>
              <w:rPr>
                <w:rFonts w:ascii="Times New Roman" w:hAnsi="Times New Roman" w:eastAsia="Calibri" w:cs="Times New Roman"/>
                <w:color w:val="auto"/>
                <w:sz w:val="20"/>
                <w:szCs w:val="20"/>
              </w:rPr>
              <w:t>Оборудование связано с облачной платформой без замены; контрольное событие принято системой.</w:t>
            </w:r>
          </w:p>
        </w:tc>
      </w:tr>
      <w:tr w14:paraId="253ADB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321" w:type="pct"/>
            <w:tcMar>
              <w:top w:w="80" w:type="dxa"/>
              <w:left w:w="120" w:type="dxa"/>
              <w:bottom w:w="80" w:type="dxa"/>
              <w:right w:w="120" w:type="dxa"/>
            </w:tcMar>
            <w:vAlign w:val="center"/>
          </w:tcPr>
          <w:p w14:paraId="5C9E5B9D">
            <w:pPr>
              <w:pStyle w:val="166"/>
              <w:spacing w:line="240" w:lineRule="auto"/>
              <w:jc w:val="center"/>
              <w:rPr>
                <w:rFonts w:ascii="Times New Roman" w:hAnsi="Times New Roman" w:cs="Times New Roman"/>
                <w:color w:val="auto"/>
                <w:sz w:val="20"/>
                <w:szCs w:val="20"/>
              </w:rPr>
            </w:pPr>
            <w:r>
              <w:rPr>
                <w:rFonts w:ascii="Times New Roman" w:hAnsi="Times New Roman" w:eastAsia="Calibri" w:cs="Times New Roman"/>
                <w:color w:val="auto"/>
                <w:sz w:val="20"/>
                <w:szCs w:val="20"/>
              </w:rPr>
              <w:t>3</w:t>
            </w:r>
          </w:p>
        </w:tc>
        <w:tc>
          <w:tcPr>
            <w:tcW w:w="810" w:type="pct"/>
            <w:tcMar>
              <w:top w:w="80" w:type="dxa"/>
              <w:left w:w="120" w:type="dxa"/>
              <w:bottom w:w="80" w:type="dxa"/>
              <w:right w:w="120" w:type="dxa"/>
            </w:tcMar>
            <w:vAlign w:val="center"/>
          </w:tcPr>
          <w:p w14:paraId="422D75DE">
            <w:pPr>
              <w:pStyle w:val="166"/>
              <w:spacing w:line="240" w:lineRule="auto"/>
              <w:rPr>
                <w:rFonts w:ascii="Times New Roman" w:hAnsi="Times New Roman" w:cs="Times New Roman"/>
                <w:color w:val="auto"/>
                <w:sz w:val="20"/>
                <w:szCs w:val="20"/>
              </w:rPr>
            </w:pPr>
            <w:r>
              <w:rPr>
                <w:rFonts w:ascii="Times New Roman" w:hAnsi="Times New Roman" w:eastAsia="Calibri" w:cs="Times New Roman"/>
                <w:color w:val="auto"/>
                <w:sz w:val="20"/>
                <w:szCs w:val="20"/>
              </w:rPr>
              <w:t>Активация лицензии</w:t>
            </w:r>
          </w:p>
        </w:tc>
        <w:tc>
          <w:tcPr>
            <w:tcW w:w="3868" w:type="pct"/>
            <w:tcMar>
              <w:top w:w="80" w:type="dxa"/>
              <w:left w:w="120" w:type="dxa"/>
              <w:bottom w:w="80" w:type="dxa"/>
              <w:right w:w="120" w:type="dxa"/>
            </w:tcMar>
            <w:vAlign w:val="center"/>
          </w:tcPr>
          <w:p w14:paraId="650FABB3">
            <w:pPr>
              <w:pStyle w:val="166"/>
              <w:spacing w:line="240" w:lineRule="auto"/>
              <w:rPr>
                <w:rFonts w:ascii="Times New Roman" w:hAnsi="Times New Roman" w:cs="Times New Roman"/>
                <w:color w:val="auto"/>
                <w:sz w:val="20"/>
                <w:szCs w:val="20"/>
              </w:rPr>
            </w:pPr>
            <w:r>
              <w:rPr>
                <w:rFonts w:ascii="Times New Roman" w:hAnsi="Times New Roman" w:eastAsia="Calibri" w:cs="Times New Roman"/>
                <w:color w:val="auto"/>
                <w:sz w:val="20"/>
                <w:szCs w:val="20"/>
              </w:rPr>
              <w:t>Для Заказчика создана одна учетная среда с доступом по 31.12.2026 включительно.</w:t>
            </w:r>
          </w:p>
        </w:tc>
      </w:tr>
      <w:tr w14:paraId="230501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321" w:type="pct"/>
            <w:tcMar>
              <w:top w:w="80" w:type="dxa"/>
              <w:left w:w="120" w:type="dxa"/>
              <w:bottom w:w="80" w:type="dxa"/>
              <w:right w:w="120" w:type="dxa"/>
            </w:tcMar>
            <w:vAlign w:val="center"/>
          </w:tcPr>
          <w:p w14:paraId="5DF07B32">
            <w:pPr>
              <w:pStyle w:val="166"/>
              <w:spacing w:line="240" w:lineRule="auto"/>
              <w:jc w:val="center"/>
              <w:rPr>
                <w:rFonts w:ascii="Times New Roman" w:hAnsi="Times New Roman" w:cs="Times New Roman"/>
                <w:color w:val="auto"/>
                <w:sz w:val="20"/>
                <w:szCs w:val="20"/>
              </w:rPr>
            </w:pPr>
            <w:r>
              <w:rPr>
                <w:rFonts w:ascii="Times New Roman" w:hAnsi="Times New Roman" w:eastAsia="Calibri" w:cs="Times New Roman"/>
                <w:color w:val="auto"/>
                <w:sz w:val="20"/>
                <w:szCs w:val="20"/>
              </w:rPr>
              <w:t>4</w:t>
            </w:r>
          </w:p>
        </w:tc>
        <w:tc>
          <w:tcPr>
            <w:tcW w:w="810" w:type="pct"/>
            <w:tcMar>
              <w:top w:w="80" w:type="dxa"/>
              <w:left w:w="120" w:type="dxa"/>
              <w:bottom w:w="80" w:type="dxa"/>
              <w:right w:w="120" w:type="dxa"/>
            </w:tcMar>
            <w:vAlign w:val="center"/>
          </w:tcPr>
          <w:p w14:paraId="6DB31217">
            <w:pPr>
              <w:pStyle w:val="166"/>
              <w:spacing w:line="240" w:lineRule="auto"/>
              <w:rPr>
                <w:rFonts w:ascii="Times New Roman" w:hAnsi="Times New Roman" w:cs="Times New Roman"/>
                <w:color w:val="auto"/>
                <w:sz w:val="20"/>
                <w:szCs w:val="20"/>
              </w:rPr>
            </w:pPr>
            <w:r>
              <w:rPr>
                <w:rFonts w:ascii="Times New Roman" w:hAnsi="Times New Roman" w:eastAsia="Calibri" w:cs="Times New Roman"/>
                <w:color w:val="auto"/>
                <w:sz w:val="20"/>
                <w:szCs w:val="20"/>
              </w:rPr>
              <w:t>Промышленный обмен</w:t>
            </w:r>
          </w:p>
        </w:tc>
        <w:tc>
          <w:tcPr>
            <w:tcW w:w="3868" w:type="pct"/>
            <w:tcMar>
              <w:top w:w="80" w:type="dxa"/>
              <w:left w:w="120" w:type="dxa"/>
              <w:bottom w:w="80" w:type="dxa"/>
              <w:right w:w="120" w:type="dxa"/>
            </w:tcMar>
            <w:vAlign w:val="center"/>
          </w:tcPr>
          <w:p w14:paraId="09C9EFE6">
            <w:pPr>
              <w:pStyle w:val="166"/>
              <w:spacing w:line="240" w:lineRule="auto"/>
              <w:rPr>
                <w:rFonts w:ascii="Times New Roman" w:hAnsi="Times New Roman" w:cs="Times New Roman"/>
                <w:color w:val="auto"/>
                <w:sz w:val="20"/>
                <w:szCs w:val="20"/>
              </w:rPr>
            </w:pPr>
            <w:r>
              <w:rPr>
                <w:rFonts w:ascii="Times New Roman" w:hAnsi="Times New Roman" w:eastAsia="Calibri" w:cs="Times New Roman"/>
                <w:color w:val="auto"/>
                <w:sz w:val="20"/>
                <w:szCs w:val="20"/>
              </w:rPr>
              <w:t>Событие получения питания передано в ИС «Социальный кошелек» и не продублировано.</w:t>
            </w:r>
          </w:p>
        </w:tc>
      </w:tr>
      <w:tr w14:paraId="7CC54C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321" w:type="pct"/>
            <w:tcMar>
              <w:top w:w="80" w:type="dxa"/>
              <w:left w:w="120" w:type="dxa"/>
              <w:bottom w:w="80" w:type="dxa"/>
              <w:right w:w="120" w:type="dxa"/>
            </w:tcMar>
            <w:vAlign w:val="center"/>
          </w:tcPr>
          <w:p w14:paraId="121C4460">
            <w:pPr>
              <w:pStyle w:val="166"/>
              <w:spacing w:line="240" w:lineRule="auto"/>
              <w:jc w:val="center"/>
              <w:rPr>
                <w:rFonts w:ascii="Times New Roman" w:hAnsi="Times New Roman" w:cs="Times New Roman"/>
                <w:color w:val="auto"/>
                <w:sz w:val="20"/>
                <w:szCs w:val="20"/>
              </w:rPr>
            </w:pPr>
            <w:r>
              <w:rPr>
                <w:rFonts w:ascii="Times New Roman" w:hAnsi="Times New Roman" w:eastAsia="Calibri" w:cs="Times New Roman"/>
                <w:color w:val="auto"/>
                <w:sz w:val="20"/>
                <w:szCs w:val="20"/>
              </w:rPr>
              <w:t>5</w:t>
            </w:r>
          </w:p>
        </w:tc>
        <w:tc>
          <w:tcPr>
            <w:tcW w:w="810" w:type="pct"/>
            <w:tcMar>
              <w:top w:w="80" w:type="dxa"/>
              <w:left w:w="120" w:type="dxa"/>
              <w:bottom w:w="80" w:type="dxa"/>
              <w:right w:w="120" w:type="dxa"/>
            </w:tcMar>
            <w:vAlign w:val="center"/>
          </w:tcPr>
          <w:p w14:paraId="6177C3E8">
            <w:pPr>
              <w:pStyle w:val="166"/>
              <w:spacing w:line="240" w:lineRule="auto"/>
              <w:rPr>
                <w:rFonts w:ascii="Times New Roman" w:hAnsi="Times New Roman" w:cs="Times New Roman"/>
                <w:color w:val="auto"/>
                <w:sz w:val="20"/>
                <w:szCs w:val="20"/>
              </w:rPr>
            </w:pPr>
            <w:r>
              <w:rPr>
                <w:rFonts w:ascii="Times New Roman" w:hAnsi="Times New Roman" w:eastAsia="Calibri" w:cs="Times New Roman"/>
                <w:color w:val="auto"/>
                <w:sz w:val="20"/>
                <w:szCs w:val="20"/>
              </w:rPr>
              <w:t>Цифровой функционал</w:t>
            </w:r>
          </w:p>
        </w:tc>
        <w:tc>
          <w:tcPr>
            <w:tcW w:w="3868" w:type="pct"/>
            <w:tcMar>
              <w:top w:w="80" w:type="dxa"/>
              <w:left w:w="120" w:type="dxa"/>
              <w:bottom w:w="80" w:type="dxa"/>
              <w:right w:w="120" w:type="dxa"/>
            </w:tcMar>
            <w:vAlign w:val="center"/>
          </w:tcPr>
          <w:p w14:paraId="4AA37B7D">
            <w:pPr>
              <w:pStyle w:val="166"/>
              <w:spacing w:line="240" w:lineRule="auto"/>
              <w:rPr>
                <w:rFonts w:ascii="Times New Roman" w:hAnsi="Times New Roman" w:cs="Times New Roman"/>
                <w:color w:val="auto"/>
                <w:sz w:val="20"/>
                <w:szCs w:val="20"/>
              </w:rPr>
            </w:pPr>
            <w:r>
              <w:rPr>
                <w:rFonts w:ascii="Times New Roman" w:hAnsi="Times New Roman" w:eastAsia="Calibri" w:cs="Times New Roman"/>
                <w:color w:val="auto"/>
                <w:sz w:val="20"/>
                <w:szCs w:val="20"/>
              </w:rPr>
              <w:t>Доступны единые профили, питание, посещаемость, УРВ, контроль доступа, библиотека, локеры, родительские сервисы, отчеты и дашборды.</w:t>
            </w:r>
          </w:p>
        </w:tc>
      </w:tr>
      <w:tr w14:paraId="2CCF92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321" w:type="pct"/>
            <w:tcMar>
              <w:top w:w="80" w:type="dxa"/>
              <w:left w:w="120" w:type="dxa"/>
              <w:bottom w:w="80" w:type="dxa"/>
              <w:right w:w="120" w:type="dxa"/>
            </w:tcMar>
            <w:vAlign w:val="center"/>
          </w:tcPr>
          <w:p w14:paraId="3D54A9AF">
            <w:pPr>
              <w:pStyle w:val="166"/>
              <w:spacing w:line="240" w:lineRule="auto"/>
              <w:jc w:val="center"/>
              <w:rPr>
                <w:rFonts w:ascii="Times New Roman" w:hAnsi="Times New Roman" w:cs="Times New Roman"/>
                <w:color w:val="auto"/>
                <w:sz w:val="20"/>
                <w:szCs w:val="20"/>
              </w:rPr>
            </w:pPr>
            <w:r>
              <w:rPr>
                <w:rFonts w:ascii="Times New Roman" w:hAnsi="Times New Roman" w:eastAsia="Calibri" w:cs="Times New Roman"/>
                <w:color w:val="auto"/>
                <w:sz w:val="20"/>
                <w:szCs w:val="20"/>
              </w:rPr>
              <w:t>6</w:t>
            </w:r>
          </w:p>
        </w:tc>
        <w:tc>
          <w:tcPr>
            <w:tcW w:w="810" w:type="pct"/>
            <w:tcMar>
              <w:top w:w="80" w:type="dxa"/>
              <w:left w:w="120" w:type="dxa"/>
              <w:bottom w:w="80" w:type="dxa"/>
              <w:right w:w="120" w:type="dxa"/>
            </w:tcMar>
            <w:vAlign w:val="center"/>
          </w:tcPr>
          <w:p w14:paraId="73FE7304">
            <w:pPr>
              <w:pStyle w:val="166"/>
              <w:spacing w:line="240" w:lineRule="auto"/>
              <w:rPr>
                <w:rFonts w:ascii="Times New Roman" w:hAnsi="Times New Roman" w:cs="Times New Roman"/>
                <w:color w:val="auto"/>
                <w:sz w:val="20"/>
                <w:szCs w:val="20"/>
              </w:rPr>
            </w:pPr>
            <w:r>
              <w:rPr>
                <w:rFonts w:ascii="Times New Roman" w:hAnsi="Times New Roman" w:eastAsia="Calibri" w:cs="Times New Roman"/>
                <w:color w:val="auto"/>
                <w:sz w:val="20"/>
                <w:szCs w:val="20"/>
              </w:rPr>
              <w:t>Обслуживание АПК</w:t>
            </w:r>
          </w:p>
        </w:tc>
        <w:tc>
          <w:tcPr>
            <w:tcW w:w="3868" w:type="pct"/>
            <w:tcMar>
              <w:top w:w="80" w:type="dxa"/>
              <w:left w:w="120" w:type="dxa"/>
              <w:bottom w:w="80" w:type="dxa"/>
              <w:right w:w="120" w:type="dxa"/>
            </w:tcMar>
            <w:vAlign w:val="center"/>
          </w:tcPr>
          <w:p w14:paraId="038F557F">
            <w:pPr>
              <w:pStyle w:val="166"/>
              <w:spacing w:line="240" w:lineRule="auto"/>
              <w:rPr>
                <w:rFonts w:ascii="Times New Roman" w:hAnsi="Times New Roman" w:cs="Times New Roman"/>
                <w:color w:val="auto"/>
                <w:sz w:val="20"/>
                <w:szCs w:val="20"/>
              </w:rPr>
            </w:pPr>
            <w:r>
              <w:rPr>
                <w:rFonts w:ascii="Times New Roman" w:hAnsi="Times New Roman" w:eastAsia="Calibri" w:cs="Times New Roman"/>
                <w:color w:val="auto"/>
                <w:sz w:val="20"/>
                <w:szCs w:val="20"/>
              </w:rPr>
              <w:t>Обеспечены диагностика, настройка, обновления и восстановление программного взаимодействия.</w:t>
            </w:r>
          </w:p>
        </w:tc>
      </w:tr>
      <w:tr w14:paraId="38008E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321" w:type="pct"/>
            <w:tcMar>
              <w:top w:w="80" w:type="dxa"/>
              <w:left w:w="120" w:type="dxa"/>
              <w:bottom w:w="80" w:type="dxa"/>
              <w:right w:w="120" w:type="dxa"/>
            </w:tcMar>
            <w:vAlign w:val="center"/>
          </w:tcPr>
          <w:p w14:paraId="322596D0">
            <w:pPr>
              <w:pStyle w:val="166"/>
              <w:spacing w:line="240" w:lineRule="auto"/>
              <w:jc w:val="center"/>
              <w:rPr>
                <w:rFonts w:ascii="Times New Roman" w:hAnsi="Times New Roman" w:cs="Times New Roman"/>
                <w:color w:val="auto"/>
                <w:sz w:val="20"/>
                <w:szCs w:val="20"/>
              </w:rPr>
            </w:pPr>
            <w:r>
              <w:rPr>
                <w:rFonts w:ascii="Times New Roman" w:hAnsi="Times New Roman" w:eastAsia="Calibri" w:cs="Times New Roman"/>
                <w:color w:val="auto"/>
                <w:sz w:val="20"/>
                <w:szCs w:val="20"/>
              </w:rPr>
              <w:t>7</w:t>
            </w:r>
          </w:p>
        </w:tc>
        <w:tc>
          <w:tcPr>
            <w:tcW w:w="810" w:type="pct"/>
            <w:tcMar>
              <w:top w:w="80" w:type="dxa"/>
              <w:left w:w="120" w:type="dxa"/>
              <w:bottom w:w="80" w:type="dxa"/>
              <w:right w:w="120" w:type="dxa"/>
            </w:tcMar>
            <w:vAlign w:val="center"/>
          </w:tcPr>
          <w:p w14:paraId="67178473">
            <w:pPr>
              <w:pStyle w:val="166"/>
              <w:spacing w:line="240" w:lineRule="auto"/>
              <w:rPr>
                <w:rFonts w:ascii="Times New Roman" w:hAnsi="Times New Roman" w:cs="Times New Roman"/>
                <w:color w:val="auto"/>
                <w:sz w:val="20"/>
                <w:szCs w:val="20"/>
              </w:rPr>
            </w:pPr>
            <w:r>
              <w:rPr>
                <w:rFonts w:ascii="Times New Roman" w:hAnsi="Times New Roman" w:eastAsia="Calibri" w:cs="Times New Roman"/>
                <w:color w:val="auto"/>
                <w:sz w:val="20"/>
                <w:szCs w:val="20"/>
              </w:rPr>
              <w:t>Поддержка</w:t>
            </w:r>
          </w:p>
        </w:tc>
        <w:tc>
          <w:tcPr>
            <w:tcW w:w="3868" w:type="pct"/>
            <w:tcMar>
              <w:top w:w="80" w:type="dxa"/>
              <w:left w:w="120" w:type="dxa"/>
              <w:bottom w:w="80" w:type="dxa"/>
              <w:right w:w="120" w:type="dxa"/>
            </w:tcMar>
            <w:vAlign w:val="center"/>
          </w:tcPr>
          <w:p w14:paraId="0C411648">
            <w:pPr>
              <w:pStyle w:val="166"/>
              <w:spacing w:line="240" w:lineRule="auto"/>
              <w:rPr>
                <w:rFonts w:ascii="Times New Roman" w:hAnsi="Times New Roman" w:cs="Times New Roman"/>
                <w:color w:val="auto"/>
                <w:sz w:val="20"/>
                <w:szCs w:val="20"/>
              </w:rPr>
            </w:pPr>
            <w:r>
              <w:rPr>
                <w:rFonts w:ascii="Times New Roman" w:hAnsi="Times New Roman" w:eastAsia="Calibri" w:cs="Times New Roman"/>
                <w:color w:val="auto"/>
                <w:sz w:val="20"/>
                <w:szCs w:val="20"/>
              </w:rPr>
              <w:t>Каналы обращений активны; дистанционная помощь и выезд выполняются в пределах SLA.</w:t>
            </w:r>
          </w:p>
        </w:tc>
      </w:tr>
      <w:tr w14:paraId="6B880F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321" w:type="pct"/>
            <w:tcMar>
              <w:top w:w="80" w:type="dxa"/>
              <w:left w:w="120" w:type="dxa"/>
              <w:bottom w:w="80" w:type="dxa"/>
              <w:right w:w="120" w:type="dxa"/>
            </w:tcMar>
            <w:vAlign w:val="center"/>
          </w:tcPr>
          <w:p w14:paraId="085CA774">
            <w:pPr>
              <w:pStyle w:val="166"/>
              <w:spacing w:line="240" w:lineRule="auto"/>
              <w:jc w:val="center"/>
              <w:rPr>
                <w:rFonts w:ascii="Times New Roman" w:hAnsi="Times New Roman" w:cs="Times New Roman"/>
                <w:color w:val="auto"/>
                <w:sz w:val="20"/>
                <w:szCs w:val="20"/>
              </w:rPr>
            </w:pPr>
            <w:r>
              <w:rPr>
                <w:rFonts w:ascii="Times New Roman" w:hAnsi="Times New Roman" w:eastAsia="Calibri" w:cs="Times New Roman"/>
                <w:color w:val="auto"/>
                <w:sz w:val="20"/>
                <w:szCs w:val="20"/>
              </w:rPr>
              <w:t>8</w:t>
            </w:r>
          </w:p>
        </w:tc>
        <w:tc>
          <w:tcPr>
            <w:tcW w:w="810" w:type="pct"/>
            <w:tcMar>
              <w:top w:w="80" w:type="dxa"/>
              <w:left w:w="120" w:type="dxa"/>
              <w:bottom w:w="80" w:type="dxa"/>
              <w:right w:w="120" w:type="dxa"/>
            </w:tcMar>
            <w:vAlign w:val="center"/>
          </w:tcPr>
          <w:p w14:paraId="6590CDF4">
            <w:pPr>
              <w:pStyle w:val="166"/>
              <w:spacing w:line="240" w:lineRule="auto"/>
              <w:rPr>
                <w:rFonts w:ascii="Times New Roman" w:hAnsi="Times New Roman" w:cs="Times New Roman"/>
                <w:color w:val="auto"/>
                <w:sz w:val="20"/>
                <w:szCs w:val="20"/>
              </w:rPr>
            </w:pPr>
            <w:r>
              <w:rPr>
                <w:rFonts w:ascii="Times New Roman" w:hAnsi="Times New Roman" w:eastAsia="Calibri" w:cs="Times New Roman"/>
                <w:color w:val="auto"/>
                <w:sz w:val="20"/>
                <w:szCs w:val="20"/>
              </w:rPr>
              <w:t>Документы</w:t>
            </w:r>
          </w:p>
        </w:tc>
        <w:tc>
          <w:tcPr>
            <w:tcW w:w="3868" w:type="pct"/>
            <w:tcMar>
              <w:top w:w="80" w:type="dxa"/>
              <w:left w:w="120" w:type="dxa"/>
              <w:bottom w:w="80" w:type="dxa"/>
              <w:right w:w="120" w:type="dxa"/>
            </w:tcMar>
            <w:vAlign w:val="center"/>
          </w:tcPr>
          <w:p w14:paraId="7F39E80C">
            <w:pPr>
              <w:pStyle w:val="166"/>
              <w:spacing w:line="240" w:lineRule="auto"/>
              <w:rPr>
                <w:rFonts w:ascii="Times New Roman" w:hAnsi="Times New Roman" w:cs="Times New Roman"/>
                <w:color w:val="auto"/>
                <w:sz w:val="20"/>
                <w:szCs w:val="20"/>
              </w:rPr>
            </w:pPr>
            <w:r>
              <w:rPr>
                <w:rFonts w:ascii="Times New Roman" w:hAnsi="Times New Roman" w:eastAsia="Calibri" w:cs="Times New Roman"/>
                <w:color w:val="auto"/>
                <w:sz w:val="20"/>
                <w:szCs w:val="20"/>
              </w:rPr>
              <w:t>Переданы подтверждения интеграции, лицензии, безопасности, полномочий и начала сопровождения.</w:t>
            </w:r>
          </w:p>
        </w:tc>
      </w:tr>
    </w:tbl>
    <w:p w14:paraId="38258DEC">
      <w:pPr>
        <w:spacing w:after="0" w:line="240" w:lineRule="auto"/>
        <w:jc w:val="both"/>
        <w:rPr>
          <w:rFonts w:ascii="Times New Roman" w:hAnsi="Times New Roman" w:cs="Times New Roman"/>
          <w:color w:val="auto"/>
          <w:sz w:val="20"/>
          <w:szCs w:val="20"/>
        </w:rPr>
      </w:pPr>
      <w:r>
        <w:rPr>
          <w:rFonts w:ascii="Times New Roman" w:hAnsi="Times New Roman" w:cs="Times New Roman"/>
          <w:color w:val="auto"/>
          <w:sz w:val="20"/>
          <w:szCs w:val="20"/>
        </w:rPr>
        <w:t>2.2. Поставщик самостоятельно определяет необходимые технические решения и включает в цену все программные компоненты, настройку интерфейсов, выезды, удаленные работы, обновления и иные расходы, без которых невозможно получить предусмотренный настоящей спецификацией результат.</w:t>
      </w:r>
    </w:p>
    <w:p w14:paraId="76538416">
      <w:pPr>
        <w:pStyle w:val="2"/>
        <w:spacing w:before="0" w:after="0"/>
        <w:rPr>
          <w:rFonts w:ascii="Times New Roman" w:hAnsi="Times New Roman" w:eastAsia="Calibri" w:cs="Times New Roman"/>
          <w:color w:val="auto"/>
          <w:sz w:val="20"/>
          <w:szCs w:val="20"/>
        </w:rPr>
      </w:pPr>
    </w:p>
    <w:p w14:paraId="13C25E98">
      <w:pPr>
        <w:pStyle w:val="2"/>
        <w:spacing w:before="0" w:after="0"/>
        <w:jc w:val="center"/>
        <w:rPr>
          <w:rFonts w:ascii="Times New Roman" w:hAnsi="Times New Roman" w:cs="Times New Roman"/>
          <w:color w:val="auto"/>
          <w:sz w:val="20"/>
          <w:szCs w:val="20"/>
        </w:rPr>
      </w:pPr>
      <w:r>
        <w:rPr>
          <w:rFonts w:ascii="Times New Roman" w:hAnsi="Times New Roman" w:eastAsia="Calibri" w:cs="Times New Roman"/>
          <w:color w:val="auto"/>
          <w:sz w:val="20"/>
          <w:szCs w:val="20"/>
        </w:rPr>
        <w:t>3. Порядок подключения действующего АПК</w:t>
      </w:r>
    </w:p>
    <w:p w14:paraId="22B3A81D">
      <w:pPr>
        <w:spacing w:after="0" w:line="240" w:lineRule="auto"/>
        <w:jc w:val="both"/>
        <w:rPr>
          <w:rFonts w:ascii="Times New Roman" w:hAnsi="Times New Roman" w:cs="Times New Roman"/>
          <w:color w:val="auto"/>
          <w:sz w:val="20"/>
          <w:szCs w:val="20"/>
        </w:rPr>
      </w:pPr>
      <w:r>
        <w:rPr>
          <w:rFonts w:ascii="Times New Roman" w:hAnsi="Times New Roman" w:cs="Times New Roman"/>
          <w:color w:val="auto"/>
          <w:sz w:val="20"/>
          <w:szCs w:val="20"/>
        </w:rPr>
        <w:t>3.1. До начала настройки Поставщик обследует установленный АПК и фиксирует количество устройств, их работоспособность, доступный способ информационного взаимодействия и состав данных, необходимый для учета питания.</w:t>
      </w:r>
    </w:p>
    <w:p w14:paraId="61453188">
      <w:pPr>
        <w:spacing w:after="0" w:line="240" w:lineRule="auto"/>
        <w:jc w:val="both"/>
        <w:rPr>
          <w:rFonts w:ascii="Times New Roman" w:hAnsi="Times New Roman" w:cs="Times New Roman"/>
          <w:color w:val="auto"/>
          <w:sz w:val="20"/>
          <w:szCs w:val="20"/>
        </w:rPr>
      </w:pPr>
      <w:r>
        <w:rPr>
          <w:rFonts w:ascii="Times New Roman" w:hAnsi="Times New Roman" w:cs="Times New Roman"/>
          <w:color w:val="auto"/>
          <w:sz w:val="20"/>
          <w:szCs w:val="20"/>
        </w:rPr>
        <w:t>3.2. Подключение выполняется через API, программный шлюз, агент, адаптер либо иной допустимый способ. Выбор механизма взаимодействия относится к ответственности Поставщика и не создает для Заказчика дополнительных расходов.</w:t>
      </w:r>
    </w:p>
    <w:p w14:paraId="368A15CF">
      <w:pPr>
        <w:spacing w:after="0" w:line="240" w:lineRule="auto"/>
        <w:jc w:val="both"/>
        <w:rPr>
          <w:rFonts w:ascii="Times New Roman" w:hAnsi="Times New Roman" w:cs="Times New Roman"/>
          <w:color w:val="auto"/>
          <w:sz w:val="20"/>
          <w:szCs w:val="20"/>
        </w:rPr>
      </w:pPr>
      <w:r>
        <w:rPr>
          <w:rFonts w:ascii="Times New Roman" w:hAnsi="Times New Roman" w:cs="Times New Roman"/>
          <w:color w:val="auto"/>
          <w:sz w:val="20"/>
          <w:szCs w:val="20"/>
        </w:rPr>
        <w:t>3.3. В облачную платформу передаются уникальный идентификатор пользователя, ИИН и необходимые учетные сведения, идентификаторы организации и оборудования, дата и время операции, а также подтвержденное событие получения бесплатного питания.</w:t>
      </w:r>
    </w:p>
    <w:p w14:paraId="6A737326">
      <w:pPr>
        <w:spacing w:after="0" w:line="240" w:lineRule="auto"/>
        <w:jc w:val="both"/>
        <w:rPr>
          <w:rFonts w:ascii="Times New Roman" w:hAnsi="Times New Roman" w:cs="Times New Roman"/>
          <w:color w:val="auto"/>
          <w:sz w:val="20"/>
          <w:szCs w:val="20"/>
        </w:rPr>
      </w:pPr>
      <w:r>
        <w:rPr>
          <w:rFonts w:ascii="Times New Roman" w:hAnsi="Times New Roman" w:cs="Times New Roman"/>
          <w:color w:val="auto"/>
          <w:sz w:val="20"/>
          <w:szCs w:val="20"/>
        </w:rPr>
        <w:t>3.4. Интеграционный обмен должен использовать результат идентификации. Исходные изображения и биометрические шаблоны не передаются, если действующий процесс может быть обеспечен без такой передачи.</w:t>
      </w:r>
    </w:p>
    <w:p w14:paraId="6A15678C">
      <w:pPr>
        <w:spacing w:after="0" w:line="240" w:lineRule="auto"/>
        <w:jc w:val="both"/>
        <w:rPr>
          <w:rFonts w:ascii="Times New Roman" w:hAnsi="Times New Roman" w:cs="Times New Roman"/>
          <w:color w:val="auto"/>
          <w:sz w:val="20"/>
          <w:szCs w:val="20"/>
        </w:rPr>
      </w:pPr>
      <w:r>
        <w:rPr>
          <w:rFonts w:ascii="Times New Roman" w:hAnsi="Times New Roman" w:cs="Times New Roman"/>
          <w:color w:val="auto"/>
          <w:sz w:val="20"/>
          <w:szCs w:val="20"/>
        </w:rPr>
        <w:t>3.5. При подключении сохраняются настройки и работоспособность действующего АПК. Поставщик обязан исключить потерю учетных данных, появление дублирующих событий и необходимость повторной привязки пользователей.</w:t>
      </w:r>
    </w:p>
    <w:p w14:paraId="52325188">
      <w:pPr>
        <w:spacing w:after="0" w:line="240" w:lineRule="auto"/>
        <w:jc w:val="both"/>
        <w:rPr>
          <w:rFonts w:ascii="Times New Roman" w:hAnsi="Times New Roman" w:cs="Times New Roman"/>
          <w:color w:val="auto"/>
          <w:sz w:val="20"/>
          <w:szCs w:val="20"/>
        </w:rPr>
      </w:pPr>
      <w:r>
        <w:rPr>
          <w:rFonts w:ascii="Times New Roman" w:hAnsi="Times New Roman" w:cs="Times New Roman"/>
          <w:color w:val="auto"/>
          <w:sz w:val="20"/>
          <w:szCs w:val="20"/>
        </w:rPr>
        <w:t>3.6. Обследование, подключение, активация доступа и контрольный обмен должны быть завершены не позднее 10 рабочих дней с даты вступления договора в силу.</w:t>
      </w:r>
    </w:p>
    <w:p w14:paraId="7316365C">
      <w:pPr>
        <w:spacing w:after="0" w:line="240" w:lineRule="auto"/>
        <w:jc w:val="both"/>
        <w:rPr>
          <w:rFonts w:ascii="Times New Roman" w:hAnsi="Times New Roman" w:cs="Times New Roman"/>
          <w:color w:val="auto"/>
          <w:sz w:val="20"/>
          <w:szCs w:val="20"/>
        </w:rPr>
      </w:pPr>
    </w:p>
    <w:p w14:paraId="6F6EA8EB">
      <w:pPr>
        <w:pStyle w:val="2"/>
        <w:spacing w:before="0" w:after="0"/>
        <w:jc w:val="center"/>
        <w:rPr>
          <w:rFonts w:ascii="Times New Roman" w:hAnsi="Times New Roman" w:cs="Times New Roman"/>
          <w:color w:val="auto"/>
          <w:sz w:val="20"/>
          <w:szCs w:val="20"/>
        </w:rPr>
      </w:pPr>
      <w:r>
        <w:rPr>
          <w:rFonts w:ascii="Times New Roman" w:hAnsi="Times New Roman" w:eastAsia="Calibri" w:cs="Times New Roman"/>
          <w:color w:val="auto"/>
          <w:sz w:val="20"/>
          <w:szCs w:val="20"/>
        </w:rPr>
        <w:t>4. Обязательные возможности цифровой платформы</w:t>
      </w:r>
    </w:p>
    <w:p w14:paraId="03532966">
      <w:pPr>
        <w:spacing w:after="0" w:line="240" w:lineRule="auto"/>
        <w:jc w:val="both"/>
        <w:rPr>
          <w:rFonts w:ascii="Times New Roman" w:hAnsi="Times New Roman" w:cs="Times New Roman"/>
          <w:color w:val="auto"/>
          <w:sz w:val="20"/>
          <w:szCs w:val="20"/>
        </w:rPr>
      </w:pPr>
      <w:r>
        <w:rPr>
          <w:rFonts w:ascii="Times New Roman" w:hAnsi="Times New Roman" w:cs="Times New Roman"/>
          <w:color w:val="auto"/>
          <w:sz w:val="20"/>
          <w:szCs w:val="20"/>
        </w:rPr>
        <w:t>4.1. Платформа должна поддерживать единые профили пользователей, разграничение прав, прием событий от подключенного АПК, учет бесплатного питания, административный кабинет, отчеты, аналитику, журналы действий, мониторинг устройств и выгрузку данных. В пределах действующей версии Заказчику также предоставляется доступ к модулям посещаемости обучающихся, контроля доступа, учета рабочего времени, библиотечного фонда, умных локеров, взаимодействия с родителями и управленческих дашбордов.</w:t>
      </w:r>
    </w:p>
    <w:p w14:paraId="2867E26E">
      <w:pPr>
        <w:spacing w:after="0" w:line="240" w:lineRule="auto"/>
        <w:jc w:val="both"/>
        <w:rPr>
          <w:rFonts w:ascii="Times New Roman" w:hAnsi="Times New Roman" w:cs="Times New Roman"/>
          <w:color w:val="auto"/>
          <w:sz w:val="20"/>
          <w:szCs w:val="20"/>
        </w:rPr>
      </w:pPr>
      <w:r>
        <w:rPr>
          <w:rFonts w:ascii="Times New Roman" w:hAnsi="Times New Roman" w:cs="Times New Roman"/>
          <w:color w:val="auto"/>
          <w:sz w:val="20"/>
          <w:szCs w:val="20"/>
        </w:rPr>
        <w:t>4.2. Наличие перечисленных модулей не возлагает на Поставщика обязанность поставить дополнительное оборудование, но должно позволять Заказчику расширять сценарии использования без смены платформы и повторного создания профилей. Обновления не должны ухудшать работу интеграции либо сокращать обязательный функционал.</w:t>
      </w:r>
    </w:p>
    <w:p w14:paraId="34666E88">
      <w:pPr>
        <w:pStyle w:val="165"/>
        <w:keepLines/>
        <w:spacing w:before="0" w:after="0" w:line="240" w:lineRule="auto"/>
        <w:ind w:left="426" w:right="180"/>
        <w:jc w:val="both"/>
        <w:rPr>
          <w:rFonts w:ascii="Times New Roman" w:hAnsi="Times New Roman" w:cs="Times New Roman"/>
          <w:i/>
          <w:iCs/>
          <w:sz w:val="20"/>
          <w:szCs w:val="20"/>
        </w:rPr>
      </w:pPr>
      <w:r>
        <w:rPr>
          <w:rFonts w:ascii="Times New Roman" w:hAnsi="Times New Roman" w:eastAsia="Calibri" w:cs="Times New Roman"/>
          <w:b/>
          <w:bCs/>
          <w:i/>
          <w:iCs/>
          <w:sz w:val="20"/>
          <w:szCs w:val="20"/>
        </w:rPr>
        <w:t>Критерий готовности платформы.</w:t>
      </w:r>
      <w:r>
        <w:rPr>
          <w:rFonts w:ascii="Times New Roman" w:hAnsi="Times New Roman" w:eastAsia="Calibri" w:cs="Times New Roman"/>
          <w:i/>
          <w:iCs/>
          <w:sz w:val="20"/>
          <w:szCs w:val="20"/>
        </w:rPr>
        <w:t xml:space="preserve"> На дату активации программное обеспечение должно быть пригодно к промышленной эксплуатации и обеспечивать действующий обмен с ИС «Социальный кошелек» без разработки новой интеграции после заключения договора.</w:t>
      </w:r>
    </w:p>
    <w:p w14:paraId="58AB1658">
      <w:pPr>
        <w:spacing w:after="0" w:line="240" w:lineRule="auto"/>
        <w:jc w:val="both"/>
        <w:rPr>
          <w:rFonts w:ascii="Times New Roman" w:hAnsi="Times New Roman" w:cs="Times New Roman"/>
          <w:color w:val="auto"/>
          <w:sz w:val="20"/>
          <w:szCs w:val="20"/>
        </w:rPr>
      </w:pPr>
      <w:r>
        <w:rPr>
          <w:rFonts w:ascii="Times New Roman" w:hAnsi="Times New Roman" w:cs="Times New Roman"/>
          <w:color w:val="auto"/>
          <w:sz w:val="20"/>
          <w:szCs w:val="20"/>
        </w:rPr>
        <w:t>4.3. Информационная безопасность предлагаемого программного продукта подтверждается положительными протоколами:</w:t>
      </w:r>
    </w:p>
    <w:p w14:paraId="36851DFD">
      <w:pPr>
        <w:pStyle w:val="22"/>
        <w:numPr>
          <w:ilvl w:val="0"/>
          <w:numId w:val="2"/>
        </w:numPr>
        <w:spacing w:after="0" w:line="240" w:lineRule="auto"/>
        <w:jc w:val="both"/>
        <w:rPr>
          <w:rFonts w:ascii="Times New Roman" w:hAnsi="Times New Roman" w:cs="Times New Roman"/>
          <w:color w:val="auto"/>
          <w:sz w:val="20"/>
          <w:szCs w:val="20"/>
        </w:rPr>
      </w:pPr>
      <w:r>
        <w:rPr>
          <w:rFonts w:ascii="Times New Roman" w:hAnsi="Times New Roman" w:cs="Times New Roman"/>
          <w:color w:val="auto"/>
          <w:sz w:val="20"/>
          <w:szCs w:val="20"/>
        </w:rPr>
        <w:t>анализа исходных кодов;</w:t>
      </w:r>
    </w:p>
    <w:p w14:paraId="2BDC3B98">
      <w:pPr>
        <w:numPr>
          <w:ilvl w:val="0"/>
          <w:numId w:val="1"/>
        </w:numPr>
        <w:spacing w:after="0" w:line="240" w:lineRule="auto"/>
        <w:jc w:val="both"/>
        <w:rPr>
          <w:rFonts w:ascii="Times New Roman" w:hAnsi="Times New Roman" w:cs="Times New Roman"/>
          <w:color w:val="auto"/>
          <w:sz w:val="20"/>
          <w:szCs w:val="20"/>
        </w:rPr>
      </w:pPr>
      <w:r>
        <w:rPr>
          <w:rFonts w:ascii="Times New Roman" w:hAnsi="Times New Roman" w:cs="Times New Roman"/>
          <w:color w:val="auto"/>
          <w:sz w:val="20"/>
          <w:szCs w:val="20"/>
        </w:rPr>
        <w:t>испытаний функций информационной безопасности;</w:t>
      </w:r>
    </w:p>
    <w:p w14:paraId="3AE6F10A">
      <w:pPr>
        <w:numPr>
          <w:ilvl w:val="0"/>
          <w:numId w:val="1"/>
        </w:numPr>
        <w:spacing w:after="0" w:line="240" w:lineRule="auto"/>
        <w:jc w:val="both"/>
        <w:rPr>
          <w:rFonts w:ascii="Times New Roman" w:hAnsi="Times New Roman" w:cs="Times New Roman"/>
          <w:color w:val="auto"/>
          <w:sz w:val="20"/>
          <w:szCs w:val="20"/>
        </w:rPr>
      </w:pPr>
      <w:r>
        <w:rPr>
          <w:rFonts w:ascii="Times New Roman" w:hAnsi="Times New Roman" w:cs="Times New Roman"/>
          <w:color w:val="auto"/>
          <w:sz w:val="20"/>
          <w:szCs w:val="20"/>
        </w:rPr>
        <w:t>нагрузочного испытания;</w:t>
      </w:r>
    </w:p>
    <w:p w14:paraId="48B9D6A9">
      <w:pPr>
        <w:numPr>
          <w:ilvl w:val="0"/>
          <w:numId w:val="1"/>
        </w:numPr>
        <w:spacing w:after="0" w:line="240" w:lineRule="auto"/>
        <w:jc w:val="both"/>
        <w:rPr>
          <w:rFonts w:ascii="Times New Roman" w:hAnsi="Times New Roman" w:cs="Times New Roman"/>
          <w:color w:val="auto"/>
          <w:sz w:val="20"/>
          <w:szCs w:val="20"/>
        </w:rPr>
      </w:pPr>
      <w:r>
        <w:rPr>
          <w:rFonts w:ascii="Times New Roman" w:hAnsi="Times New Roman" w:cs="Times New Roman"/>
          <w:color w:val="auto"/>
          <w:sz w:val="20"/>
          <w:szCs w:val="20"/>
        </w:rPr>
        <w:t>обследования процессов обеспечения информационной безопасности;</w:t>
      </w:r>
    </w:p>
    <w:p w14:paraId="1C6CFCEB">
      <w:pPr>
        <w:numPr>
          <w:ilvl w:val="0"/>
          <w:numId w:val="1"/>
        </w:numPr>
        <w:spacing w:after="0" w:line="240" w:lineRule="auto"/>
        <w:jc w:val="both"/>
        <w:rPr>
          <w:rFonts w:ascii="Times New Roman" w:hAnsi="Times New Roman" w:cs="Times New Roman"/>
          <w:color w:val="auto"/>
          <w:sz w:val="20"/>
          <w:szCs w:val="20"/>
        </w:rPr>
      </w:pPr>
      <w:r>
        <w:rPr>
          <w:rFonts w:ascii="Times New Roman" w:hAnsi="Times New Roman" w:cs="Times New Roman"/>
          <w:color w:val="auto"/>
          <w:sz w:val="20"/>
          <w:szCs w:val="20"/>
        </w:rPr>
        <w:t>обследования сетевой инфраструктуры.</w:t>
      </w:r>
    </w:p>
    <w:p w14:paraId="1C2F8FF3">
      <w:pPr>
        <w:spacing w:after="0" w:line="240" w:lineRule="auto"/>
        <w:jc w:val="both"/>
        <w:rPr>
          <w:rFonts w:ascii="Times New Roman" w:hAnsi="Times New Roman" w:cs="Times New Roman"/>
          <w:color w:val="auto"/>
          <w:sz w:val="20"/>
          <w:szCs w:val="20"/>
        </w:rPr>
      </w:pPr>
      <w:r>
        <w:rPr>
          <w:rFonts w:ascii="Times New Roman" w:hAnsi="Times New Roman" w:cs="Times New Roman"/>
          <w:color w:val="auto"/>
          <w:sz w:val="20"/>
          <w:szCs w:val="20"/>
        </w:rPr>
        <w:t>Предлагаемое программное обеспечение должно быть включено в Реестр доверенного программного обеспечения и продукции электронной промышленности. Выписка из реестра, протоколы и подтверждение действующей интеграции с ИС «Социальный кошелек» передаются Заказчику при исполнении договора и должны относиться к фактически активируемой версии платформы.</w:t>
      </w:r>
    </w:p>
    <w:p w14:paraId="29CCB5B6">
      <w:pPr>
        <w:spacing w:after="0" w:line="240" w:lineRule="auto"/>
        <w:jc w:val="both"/>
        <w:rPr>
          <w:rFonts w:ascii="Times New Roman" w:hAnsi="Times New Roman" w:cs="Times New Roman"/>
          <w:color w:val="auto"/>
          <w:sz w:val="20"/>
          <w:szCs w:val="20"/>
        </w:rPr>
      </w:pPr>
    </w:p>
    <w:p w14:paraId="67B2292D">
      <w:pPr>
        <w:pStyle w:val="2"/>
        <w:spacing w:before="0" w:after="0"/>
        <w:jc w:val="center"/>
        <w:rPr>
          <w:rFonts w:ascii="Times New Roman" w:hAnsi="Times New Roman" w:cs="Times New Roman"/>
          <w:color w:val="auto"/>
          <w:sz w:val="20"/>
          <w:szCs w:val="20"/>
        </w:rPr>
      </w:pPr>
      <w:r>
        <w:rPr>
          <w:rFonts w:ascii="Times New Roman" w:hAnsi="Times New Roman" w:eastAsia="Calibri" w:cs="Times New Roman"/>
          <w:color w:val="auto"/>
          <w:sz w:val="20"/>
          <w:szCs w:val="20"/>
        </w:rPr>
        <w:t>5. Гарантии правомерности и подтверждающие документы</w:t>
      </w:r>
    </w:p>
    <w:p w14:paraId="38E2A3A0">
      <w:pPr>
        <w:spacing w:after="0" w:line="240" w:lineRule="auto"/>
        <w:jc w:val="both"/>
        <w:rPr>
          <w:rFonts w:ascii="Times New Roman" w:hAnsi="Times New Roman" w:cs="Times New Roman"/>
          <w:color w:val="auto"/>
          <w:sz w:val="20"/>
          <w:szCs w:val="20"/>
        </w:rPr>
      </w:pPr>
      <w:r>
        <w:rPr>
          <w:rFonts w:ascii="Times New Roman" w:hAnsi="Times New Roman" w:cs="Times New Roman"/>
          <w:color w:val="auto"/>
          <w:sz w:val="20"/>
          <w:szCs w:val="20"/>
        </w:rPr>
        <w:t>5.1. Лицензия предоставляется Правообладателем платформы либо уполномоченным им лицом. Поставщик отвечает за законность активации, непрерывность доступа и наличие полномочий на интеграцию и сопровождение в течение всего срока договора.</w:t>
      </w:r>
    </w:p>
    <w:p w14:paraId="69AC09C3">
      <w:pPr>
        <w:spacing w:after="0" w:line="240" w:lineRule="auto"/>
        <w:jc w:val="both"/>
        <w:rPr>
          <w:rFonts w:ascii="Times New Roman" w:hAnsi="Times New Roman" w:cs="Times New Roman"/>
          <w:color w:val="auto"/>
          <w:sz w:val="20"/>
          <w:szCs w:val="20"/>
        </w:rPr>
      </w:pPr>
      <w:r>
        <w:rPr>
          <w:rFonts w:ascii="Times New Roman" w:hAnsi="Times New Roman" w:cs="Times New Roman"/>
          <w:color w:val="auto"/>
          <w:sz w:val="20"/>
          <w:szCs w:val="20"/>
        </w:rPr>
        <w:t>5.2. Если договор исполняет не Правообладатель, к моменту активации Заказчику передается его подтверждение с указанием наименования и БИН Заказчика, платформы, учетной записи, срока доступа по 31.12.2026 включительно и полномочий Поставщика. Документ, сформированный самим Поставщиком без подтверждения Правообладателя, не заменяет такое подтверждение.</w:t>
      </w:r>
    </w:p>
    <w:p w14:paraId="07FF797A">
      <w:pPr>
        <w:spacing w:after="0" w:line="240" w:lineRule="auto"/>
        <w:jc w:val="both"/>
        <w:rPr>
          <w:rFonts w:ascii="Times New Roman" w:hAnsi="Times New Roman" w:cs="Times New Roman"/>
          <w:color w:val="auto"/>
          <w:sz w:val="20"/>
          <w:szCs w:val="20"/>
        </w:rPr>
      </w:pPr>
      <w:r>
        <w:rPr>
          <w:rFonts w:ascii="Times New Roman" w:hAnsi="Times New Roman" w:cs="Times New Roman"/>
          <w:color w:val="auto"/>
          <w:sz w:val="20"/>
          <w:szCs w:val="20"/>
        </w:rPr>
        <w:t>5.3. Настройка платформы и последующее сопровождение выполняются с участием не менее одного специалиста, имеющего действующий сертификат разработчика или Правообладателя по интеграции и технической поддержке предлагаемого программного обеспечения.</w:t>
      </w:r>
    </w:p>
    <w:p w14:paraId="6EE3E58E">
      <w:pPr>
        <w:pStyle w:val="165"/>
        <w:keepLines/>
        <w:spacing w:before="0" w:after="0" w:line="240" w:lineRule="auto"/>
        <w:ind w:left="180" w:right="180"/>
        <w:jc w:val="both"/>
        <w:rPr>
          <w:rFonts w:ascii="Times New Roman" w:hAnsi="Times New Roman" w:cs="Times New Roman"/>
          <w:bCs/>
          <w:i/>
          <w:iCs/>
          <w:sz w:val="20"/>
          <w:szCs w:val="20"/>
        </w:rPr>
      </w:pPr>
      <w:r>
        <w:rPr>
          <w:rFonts w:ascii="Times New Roman" w:hAnsi="Times New Roman" w:eastAsia="Calibri" w:cs="Times New Roman"/>
          <w:b/>
          <w:bCs/>
          <w:i/>
          <w:iCs/>
          <w:sz w:val="20"/>
          <w:szCs w:val="20"/>
        </w:rPr>
        <w:t>Порядок представления.</w:t>
      </w:r>
      <w:r>
        <w:rPr>
          <w:rFonts w:ascii="Times New Roman" w:hAnsi="Times New Roman" w:eastAsia="Calibri" w:cs="Times New Roman"/>
          <w:bCs/>
          <w:i/>
          <w:iCs/>
          <w:sz w:val="20"/>
          <w:szCs w:val="20"/>
        </w:rPr>
        <w:t xml:space="preserve"> Документы Правообладателя, выписка из реестра, материалы по информационной безопасности, подтверждение промышленной интеграции и сертификат специалиста передаются в ходе исполнения и приемки. Их приложение к ценовому предложению участника ЗЦП не требуется.</w:t>
      </w:r>
    </w:p>
    <w:p w14:paraId="677879B0">
      <w:pPr>
        <w:pStyle w:val="2"/>
        <w:spacing w:before="0" w:after="0"/>
        <w:rPr>
          <w:rFonts w:ascii="Times New Roman" w:hAnsi="Times New Roman" w:eastAsia="Calibri" w:cs="Times New Roman"/>
          <w:b w:val="0"/>
          <w:i/>
          <w:iCs/>
          <w:color w:val="auto"/>
          <w:sz w:val="20"/>
          <w:szCs w:val="20"/>
        </w:rPr>
      </w:pPr>
    </w:p>
    <w:p w14:paraId="37EA672E">
      <w:pPr>
        <w:pStyle w:val="2"/>
        <w:spacing w:before="0" w:after="0"/>
        <w:jc w:val="center"/>
        <w:rPr>
          <w:rFonts w:ascii="Times New Roman" w:hAnsi="Times New Roman" w:cs="Times New Roman"/>
          <w:color w:val="auto"/>
          <w:sz w:val="20"/>
          <w:szCs w:val="20"/>
        </w:rPr>
      </w:pPr>
      <w:r>
        <w:rPr>
          <w:rFonts w:ascii="Times New Roman" w:hAnsi="Times New Roman" w:eastAsia="Calibri" w:cs="Times New Roman"/>
          <w:color w:val="auto"/>
          <w:sz w:val="20"/>
          <w:szCs w:val="20"/>
        </w:rPr>
        <w:t>6. Эксплуатационное обслуживание и уровень сервиса</w:t>
      </w:r>
    </w:p>
    <w:p w14:paraId="36852D72">
      <w:pPr>
        <w:spacing w:after="0" w:line="240" w:lineRule="auto"/>
        <w:rPr>
          <w:rFonts w:ascii="Times New Roman" w:hAnsi="Times New Roman" w:cs="Times New Roman"/>
          <w:color w:val="auto"/>
          <w:sz w:val="20"/>
          <w:szCs w:val="20"/>
        </w:rPr>
      </w:pPr>
      <w:r>
        <w:rPr>
          <w:rFonts w:ascii="Times New Roman" w:hAnsi="Times New Roman" w:cs="Times New Roman"/>
          <w:color w:val="auto"/>
          <w:sz w:val="20"/>
          <w:szCs w:val="20"/>
        </w:rPr>
        <w:t>6.1. Обращения Заказчика принимаются в рабочие дни с 09:00 до 18:00 по времени города Астаны, за исключением выходных и праздничных дней. Канал поддержки должен обеспечивать регистрацию обращения, времени поступления, содержания, ответственного исполнителя и результата.</w:t>
      </w:r>
    </w:p>
    <w:p w14:paraId="2E2D512C">
      <w:pPr>
        <w:spacing w:after="0" w:line="240" w:lineRule="auto"/>
        <w:rPr>
          <w:rFonts w:ascii="Times New Roman" w:hAnsi="Times New Roman" w:cs="Times New Roman"/>
          <w:color w:val="auto"/>
          <w:sz w:val="20"/>
          <w:szCs w:val="20"/>
        </w:rPr>
      </w:pPr>
      <w:r>
        <w:rPr>
          <w:rFonts w:ascii="Times New Roman" w:hAnsi="Times New Roman" w:cs="Times New Roman"/>
          <w:color w:val="auto"/>
          <w:sz w:val="20"/>
          <w:szCs w:val="20"/>
        </w:rPr>
        <w:t>6.2. Время реакции отсчитывается с момента регистрации обращения в рабочее время. Реакцией признаются подтверждение приема и фактическое начало диагностики, а не автоматическое уведомление.</w:t>
      </w:r>
    </w:p>
    <w:tbl>
      <w:tblPr>
        <w:tblStyle w:val="12"/>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748"/>
        <w:gridCol w:w="2861"/>
        <w:gridCol w:w="2007"/>
        <w:gridCol w:w="3879"/>
      </w:tblGrid>
      <w:tr w14:paraId="23118E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blHeader/>
        </w:trPr>
        <w:tc>
          <w:tcPr>
            <w:tcW w:w="833" w:type="pct"/>
            <w:tcMar>
              <w:top w:w="80" w:type="dxa"/>
              <w:left w:w="120" w:type="dxa"/>
              <w:bottom w:w="80" w:type="dxa"/>
              <w:right w:w="120" w:type="dxa"/>
            </w:tcMar>
            <w:vAlign w:val="center"/>
          </w:tcPr>
          <w:p w14:paraId="1B8FC7E6">
            <w:pPr>
              <w:pStyle w:val="167"/>
              <w:spacing w:line="240" w:lineRule="auto"/>
              <w:jc w:val="center"/>
              <w:rPr>
                <w:rFonts w:ascii="Times New Roman" w:hAnsi="Times New Roman" w:cs="Times New Roman"/>
                <w:color w:val="auto"/>
                <w:sz w:val="20"/>
                <w:szCs w:val="20"/>
              </w:rPr>
            </w:pPr>
            <w:r>
              <w:rPr>
                <w:rFonts w:ascii="Times New Roman" w:hAnsi="Times New Roman" w:eastAsia="Calibri" w:cs="Times New Roman"/>
                <w:color w:val="auto"/>
                <w:sz w:val="20"/>
                <w:szCs w:val="20"/>
              </w:rPr>
              <w:t>Уровень</w:t>
            </w:r>
          </w:p>
        </w:tc>
        <w:tc>
          <w:tcPr>
            <w:tcW w:w="1363" w:type="pct"/>
            <w:tcMar>
              <w:top w:w="80" w:type="dxa"/>
              <w:left w:w="120" w:type="dxa"/>
              <w:bottom w:w="80" w:type="dxa"/>
              <w:right w:w="120" w:type="dxa"/>
            </w:tcMar>
            <w:vAlign w:val="center"/>
          </w:tcPr>
          <w:p w14:paraId="75F47DE5">
            <w:pPr>
              <w:pStyle w:val="167"/>
              <w:spacing w:line="240" w:lineRule="auto"/>
              <w:jc w:val="center"/>
              <w:rPr>
                <w:rFonts w:ascii="Times New Roman" w:hAnsi="Times New Roman" w:cs="Times New Roman"/>
                <w:color w:val="auto"/>
                <w:sz w:val="20"/>
                <w:szCs w:val="20"/>
              </w:rPr>
            </w:pPr>
            <w:r>
              <w:rPr>
                <w:rFonts w:ascii="Times New Roman" w:hAnsi="Times New Roman" w:eastAsia="Calibri" w:cs="Times New Roman"/>
                <w:color w:val="auto"/>
                <w:sz w:val="20"/>
                <w:szCs w:val="20"/>
              </w:rPr>
              <w:t>Событие</w:t>
            </w:r>
          </w:p>
        </w:tc>
        <w:tc>
          <w:tcPr>
            <w:tcW w:w="956" w:type="pct"/>
            <w:tcMar>
              <w:top w:w="80" w:type="dxa"/>
              <w:left w:w="120" w:type="dxa"/>
              <w:bottom w:w="80" w:type="dxa"/>
              <w:right w:w="120" w:type="dxa"/>
            </w:tcMar>
            <w:vAlign w:val="center"/>
          </w:tcPr>
          <w:p w14:paraId="3F8EB500">
            <w:pPr>
              <w:pStyle w:val="167"/>
              <w:spacing w:line="240" w:lineRule="auto"/>
              <w:jc w:val="center"/>
              <w:rPr>
                <w:rFonts w:ascii="Times New Roman" w:hAnsi="Times New Roman" w:cs="Times New Roman"/>
                <w:color w:val="auto"/>
                <w:sz w:val="20"/>
                <w:szCs w:val="20"/>
              </w:rPr>
            </w:pPr>
            <w:r>
              <w:rPr>
                <w:rFonts w:ascii="Times New Roman" w:hAnsi="Times New Roman" w:eastAsia="Calibri" w:cs="Times New Roman"/>
                <w:color w:val="auto"/>
                <w:sz w:val="20"/>
                <w:szCs w:val="20"/>
              </w:rPr>
              <w:t>Начало реакции</w:t>
            </w:r>
          </w:p>
        </w:tc>
        <w:tc>
          <w:tcPr>
            <w:tcW w:w="1848" w:type="pct"/>
            <w:tcMar>
              <w:top w:w="80" w:type="dxa"/>
              <w:left w:w="120" w:type="dxa"/>
              <w:bottom w:w="80" w:type="dxa"/>
              <w:right w:w="120" w:type="dxa"/>
            </w:tcMar>
            <w:vAlign w:val="center"/>
          </w:tcPr>
          <w:p w14:paraId="60C28FBF">
            <w:pPr>
              <w:pStyle w:val="167"/>
              <w:spacing w:line="240" w:lineRule="auto"/>
              <w:jc w:val="center"/>
              <w:rPr>
                <w:rFonts w:ascii="Times New Roman" w:hAnsi="Times New Roman" w:cs="Times New Roman"/>
                <w:color w:val="auto"/>
                <w:sz w:val="20"/>
                <w:szCs w:val="20"/>
              </w:rPr>
            </w:pPr>
            <w:r>
              <w:rPr>
                <w:rFonts w:ascii="Times New Roman" w:hAnsi="Times New Roman" w:eastAsia="Calibri" w:cs="Times New Roman"/>
                <w:color w:val="auto"/>
                <w:sz w:val="20"/>
                <w:szCs w:val="20"/>
              </w:rPr>
              <w:t>Срок выполнения</w:t>
            </w:r>
          </w:p>
        </w:tc>
      </w:tr>
      <w:tr w14:paraId="5A56C0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833" w:type="pct"/>
            <w:tcMar>
              <w:top w:w="80" w:type="dxa"/>
              <w:left w:w="120" w:type="dxa"/>
              <w:bottom w:w="80" w:type="dxa"/>
              <w:right w:w="120" w:type="dxa"/>
            </w:tcMar>
            <w:vAlign w:val="center"/>
          </w:tcPr>
          <w:p w14:paraId="73A4A2DD">
            <w:pPr>
              <w:pStyle w:val="166"/>
              <w:spacing w:line="240" w:lineRule="auto"/>
              <w:rPr>
                <w:rFonts w:ascii="Times New Roman" w:hAnsi="Times New Roman" w:cs="Times New Roman"/>
                <w:color w:val="auto"/>
                <w:sz w:val="20"/>
                <w:szCs w:val="20"/>
              </w:rPr>
            </w:pPr>
            <w:r>
              <w:rPr>
                <w:rFonts w:ascii="Times New Roman" w:hAnsi="Times New Roman" w:eastAsia="Calibri" w:cs="Times New Roman"/>
                <w:color w:val="auto"/>
                <w:sz w:val="20"/>
                <w:szCs w:val="20"/>
              </w:rPr>
              <w:t>Аварийный</w:t>
            </w:r>
          </w:p>
        </w:tc>
        <w:tc>
          <w:tcPr>
            <w:tcW w:w="1363" w:type="pct"/>
            <w:tcMar>
              <w:top w:w="80" w:type="dxa"/>
              <w:left w:w="120" w:type="dxa"/>
              <w:bottom w:w="80" w:type="dxa"/>
              <w:right w:w="120" w:type="dxa"/>
            </w:tcMar>
            <w:vAlign w:val="center"/>
          </w:tcPr>
          <w:p w14:paraId="0E08DBCB">
            <w:pPr>
              <w:pStyle w:val="166"/>
              <w:spacing w:line="240" w:lineRule="auto"/>
              <w:rPr>
                <w:rFonts w:ascii="Times New Roman" w:hAnsi="Times New Roman" w:cs="Times New Roman"/>
                <w:color w:val="auto"/>
                <w:sz w:val="20"/>
                <w:szCs w:val="20"/>
              </w:rPr>
            </w:pPr>
            <w:r>
              <w:rPr>
                <w:rFonts w:ascii="Times New Roman" w:hAnsi="Times New Roman" w:eastAsia="Calibri" w:cs="Times New Roman"/>
                <w:color w:val="auto"/>
                <w:sz w:val="20"/>
                <w:szCs w:val="20"/>
              </w:rPr>
              <w:t>Не работает платформа, интеграция либо передача событий питания</w:t>
            </w:r>
          </w:p>
        </w:tc>
        <w:tc>
          <w:tcPr>
            <w:tcW w:w="956" w:type="pct"/>
            <w:tcMar>
              <w:top w:w="80" w:type="dxa"/>
              <w:left w:w="120" w:type="dxa"/>
              <w:bottom w:w="80" w:type="dxa"/>
              <w:right w:w="120" w:type="dxa"/>
            </w:tcMar>
            <w:vAlign w:val="center"/>
          </w:tcPr>
          <w:p w14:paraId="04E4B69E">
            <w:pPr>
              <w:pStyle w:val="166"/>
              <w:spacing w:line="240" w:lineRule="auto"/>
              <w:rPr>
                <w:rFonts w:ascii="Times New Roman" w:hAnsi="Times New Roman" w:cs="Times New Roman"/>
                <w:color w:val="auto"/>
                <w:sz w:val="20"/>
                <w:szCs w:val="20"/>
              </w:rPr>
            </w:pPr>
            <w:r>
              <w:rPr>
                <w:rFonts w:ascii="Times New Roman" w:hAnsi="Times New Roman" w:eastAsia="Calibri" w:cs="Times New Roman"/>
                <w:color w:val="auto"/>
                <w:sz w:val="20"/>
                <w:szCs w:val="20"/>
              </w:rPr>
              <w:t>до 2 рабочих часов</w:t>
            </w:r>
          </w:p>
        </w:tc>
        <w:tc>
          <w:tcPr>
            <w:tcW w:w="1848" w:type="pct"/>
            <w:tcMar>
              <w:top w:w="80" w:type="dxa"/>
              <w:left w:w="120" w:type="dxa"/>
              <w:bottom w:w="80" w:type="dxa"/>
              <w:right w:w="120" w:type="dxa"/>
            </w:tcMar>
            <w:vAlign w:val="center"/>
          </w:tcPr>
          <w:p w14:paraId="553E83E5">
            <w:pPr>
              <w:pStyle w:val="166"/>
              <w:spacing w:line="240" w:lineRule="auto"/>
              <w:rPr>
                <w:rFonts w:ascii="Times New Roman" w:hAnsi="Times New Roman" w:cs="Times New Roman"/>
                <w:color w:val="auto"/>
                <w:sz w:val="20"/>
                <w:szCs w:val="20"/>
              </w:rPr>
            </w:pPr>
            <w:r>
              <w:rPr>
                <w:rFonts w:ascii="Times New Roman" w:hAnsi="Times New Roman" w:eastAsia="Calibri" w:cs="Times New Roman"/>
                <w:color w:val="auto"/>
                <w:sz w:val="20"/>
                <w:szCs w:val="20"/>
              </w:rPr>
              <w:t>План восстановления - до 8 рабочих часов; устранение причины Поставщика - до 1 рабочего дня.</w:t>
            </w:r>
          </w:p>
        </w:tc>
      </w:tr>
      <w:tr w14:paraId="66D1B6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833" w:type="pct"/>
            <w:tcMar>
              <w:top w:w="80" w:type="dxa"/>
              <w:left w:w="120" w:type="dxa"/>
              <w:bottom w:w="80" w:type="dxa"/>
              <w:right w:w="120" w:type="dxa"/>
            </w:tcMar>
            <w:vAlign w:val="center"/>
          </w:tcPr>
          <w:p w14:paraId="4D1F416C">
            <w:pPr>
              <w:pStyle w:val="166"/>
              <w:spacing w:line="240" w:lineRule="auto"/>
              <w:rPr>
                <w:rFonts w:ascii="Times New Roman" w:hAnsi="Times New Roman" w:cs="Times New Roman"/>
                <w:color w:val="auto"/>
                <w:sz w:val="20"/>
                <w:szCs w:val="20"/>
              </w:rPr>
            </w:pPr>
            <w:r>
              <w:rPr>
                <w:rFonts w:ascii="Times New Roman" w:hAnsi="Times New Roman" w:eastAsia="Calibri" w:cs="Times New Roman"/>
                <w:color w:val="auto"/>
                <w:sz w:val="20"/>
                <w:szCs w:val="20"/>
              </w:rPr>
              <w:t>Стандартный</w:t>
            </w:r>
          </w:p>
        </w:tc>
        <w:tc>
          <w:tcPr>
            <w:tcW w:w="1363" w:type="pct"/>
            <w:tcMar>
              <w:top w:w="80" w:type="dxa"/>
              <w:left w:w="120" w:type="dxa"/>
              <w:bottom w:w="80" w:type="dxa"/>
              <w:right w:w="120" w:type="dxa"/>
            </w:tcMar>
            <w:vAlign w:val="center"/>
          </w:tcPr>
          <w:p w14:paraId="431DB390">
            <w:pPr>
              <w:pStyle w:val="166"/>
              <w:spacing w:line="240" w:lineRule="auto"/>
              <w:rPr>
                <w:rFonts w:ascii="Times New Roman" w:hAnsi="Times New Roman" w:cs="Times New Roman"/>
                <w:color w:val="auto"/>
                <w:sz w:val="20"/>
                <w:szCs w:val="20"/>
              </w:rPr>
            </w:pPr>
            <w:r>
              <w:rPr>
                <w:rFonts w:ascii="Times New Roman" w:hAnsi="Times New Roman" w:eastAsia="Calibri" w:cs="Times New Roman"/>
                <w:color w:val="auto"/>
                <w:sz w:val="20"/>
                <w:szCs w:val="20"/>
              </w:rPr>
              <w:t>Частичный сбой функций, оборудования или обмена без полной остановки</w:t>
            </w:r>
          </w:p>
        </w:tc>
        <w:tc>
          <w:tcPr>
            <w:tcW w:w="956" w:type="pct"/>
            <w:tcMar>
              <w:top w:w="80" w:type="dxa"/>
              <w:left w:w="120" w:type="dxa"/>
              <w:bottom w:w="80" w:type="dxa"/>
              <w:right w:w="120" w:type="dxa"/>
            </w:tcMar>
            <w:vAlign w:val="center"/>
          </w:tcPr>
          <w:p w14:paraId="657E614B">
            <w:pPr>
              <w:pStyle w:val="166"/>
              <w:spacing w:line="240" w:lineRule="auto"/>
              <w:rPr>
                <w:rFonts w:ascii="Times New Roman" w:hAnsi="Times New Roman" w:cs="Times New Roman"/>
                <w:color w:val="auto"/>
                <w:sz w:val="20"/>
                <w:szCs w:val="20"/>
              </w:rPr>
            </w:pPr>
            <w:r>
              <w:rPr>
                <w:rFonts w:ascii="Times New Roman" w:hAnsi="Times New Roman" w:eastAsia="Calibri" w:cs="Times New Roman"/>
                <w:color w:val="auto"/>
                <w:sz w:val="20"/>
                <w:szCs w:val="20"/>
              </w:rPr>
              <w:t>до 4 рабочих часов</w:t>
            </w:r>
          </w:p>
        </w:tc>
        <w:tc>
          <w:tcPr>
            <w:tcW w:w="1848" w:type="pct"/>
            <w:tcMar>
              <w:top w:w="80" w:type="dxa"/>
              <w:left w:w="120" w:type="dxa"/>
              <w:bottom w:w="80" w:type="dxa"/>
              <w:right w:w="120" w:type="dxa"/>
            </w:tcMar>
            <w:vAlign w:val="center"/>
          </w:tcPr>
          <w:p w14:paraId="3C676D1D">
            <w:pPr>
              <w:pStyle w:val="166"/>
              <w:spacing w:line="240" w:lineRule="auto"/>
              <w:rPr>
                <w:rFonts w:ascii="Times New Roman" w:hAnsi="Times New Roman" w:cs="Times New Roman"/>
                <w:color w:val="auto"/>
                <w:sz w:val="20"/>
                <w:szCs w:val="20"/>
              </w:rPr>
            </w:pPr>
            <w:r>
              <w:rPr>
                <w:rFonts w:ascii="Times New Roman" w:hAnsi="Times New Roman" w:eastAsia="Calibri" w:cs="Times New Roman"/>
                <w:color w:val="auto"/>
                <w:sz w:val="20"/>
                <w:szCs w:val="20"/>
              </w:rPr>
              <w:t>Устранение причины Поставщика - до 3 рабочих дней.</w:t>
            </w:r>
          </w:p>
        </w:tc>
      </w:tr>
      <w:tr w14:paraId="52BCD1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833" w:type="pct"/>
            <w:tcMar>
              <w:top w:w="80" w:type="dxa"/>
              <w:left w:w="120" w:type="dxa"/>
              <w:bottom w:w="80" w:type="dxa"/>
              <w:right w:w="120" w:type="dxa"/>
            </w:tcMar>
            <w:vAlign w:val="center"/>
          </w:tcPr>
          <w:p w14:paraId="1651F7A2">
            <w:pPr>
              <w:pStyle w:val="166"/>
              <w:spacing w:line="240" w:lineRule="auto"/>
              <w:rPr>
                <w:rFonts w:ascii="Times New Roman" w:hAnsi="Times New Roman" w:cs="Times New Roman"/>
                <w:color w:val="auto"/>
                <w:sz w:val="20"/>
                <w:szCs w:val="20"/>
              </w:rPr>
            </w:pPr>
            <w:r>
              <w:rPr>
                <w:rFonts w:ascii="Times New Roman" w:hAnsi="Times New Roman" w:eastAsia="Calibri" w:cs="Times New Roman"/>
                <w:color w:val="auto"/>
                <w:sz w:val="20"/>
                <w:szCs w:val="20"/>
              </w:rPr>
              <w:t>Консультация</w:t>
            </w:r>
          </w:p>
        </w:tc>
        <w:tc>
          <w:tcPr>
            <w:tcW w:w="1363" w:type="pct"/>
            <w:tcMar>
              <w:top w:w="80" w:type="dxa"/>
              <w:left w:w="120" w:type="dxa"/>
              <w:bottom w:w="80" w:type="dxa"/>
              <w:right w:w="120" w:type="dxa"/>
            </w:tcMar>
            <w:vAlign w:val="center"/>
          </w:tcPr>
          <w:p w14:paraId="6195B3C1">
            <w:pPr>
              <w:pStyle w:val="166"/>
              <w:spacing w:line="240" w:lineRule="auto"/>
              <w:rPr>
                <w:rFonts w:ascii="Times New Roman" w:hAnsi="Times New Roman" w:cs="Times New Roman"/>
                <w:color w:val="auto"/>
                <w:sz w:val="20"/>
                <w:szCs w:val="20"/>
              </w:rPr>
            </w:pPr>
            <w:r>
              <w:rPr>
                <w:rFonts w:ascii="Times New Roman" w:hAnsi="Times New Roman" w:eastAsia="Calibri" w:cs="Times New Roman"/>
                <w:color w:val="auto"/>
                <w:sz w:val="20"/>
                <w:szCs w:val="20"/>
              </w:rPr>
              <w:t>Консультация, отчет, настройка кабинета, оборудования или интеграции</w:t>
            </w:r>
          </w:p>
        </w:tc>
        <w:tc>
          <w:tcPr>
            <w:tcW w:w="956" w:type="pct"/>
            <w:tcMar>
              <w:top w:w="80" w:type="dxa"/>
              <w:left w:w="120" w:type="dxa"/>
              <w:bottom w:w="80" w:type="dxa"/>
              <w:right w:w="120" w:type="dxa"/>
            </w:tcMar>
            <w:vAlign w:val="center"/>
          </w:tcPr>
          <w:p w14:paraId="471DCBE7">
            <w:pPr>
              <w:pStyle w:val="166"/>
              <w:spacing w:line="240" w:lineRule="auto"/>
              <w:rPr>
                <w:rFonts w:ascii="Times New Roman" w:hAnsi="Times New Roman" w:cs="Times New Roman"/>
                <w:color w:val="auto"/>
                <w:sz w:val="20"/>
                <w:szCs w:val="20"/>
              </w:rPr>
            </w:pPr>
            <w:r>
              <w:rPr>
                <w:rFonts w:ascii="Times New Roman" w:hAnsi="Times New Roman" w:eastAsia="Calibri" w:cs="Times New Roman"/>
                <w:color w:val="auto"/>
                <w:sz w:val="20"/>
                <w:szCs w:val="20"/>
              </w:rPr>
              <w:t>до 1 рабочего дня</w:t>
            </w:r>
          </w:p>
        </w:tc>
        <w:tc>
          <w:tcPr>
            <w:tcW w:w="1848" w:type="pct"/>
            <w:tcMar>
              <w:top w:w="80" w:type="dxa"/>
              <w:left w:w="120" w:type="dxa"/>
              <w:bottom w:w="80" w:type="dxa"/>
              <w:right w:w="120" w:type="dxa"/>
            </w:tcMar>
            <w:vAlign w:val="center"/>
          </w:tcPr>
          <w:p w14:paraId="5D24401F">
            <w:pPr>
              <w:pStyle w:val="166"/>
              <w:spacing w:line="240" w:lineRule="auto"/>
              <w:rPr>
                <w:rFonts w:ascii="Times New Roman" w:hAnsi="Times New Roman" w:cs="Times New Roman"/>
                <w:color w:val="auto"/>
                <w:sz w:val="20"/>
                <w:szCs w:val="20"/>
              </w:rPr>
            </w:pPr>
            <w:r>
              <w:rPr>
                <w:rFonts w:ascii="Times New Roman" w:hAnsi="Times New Roman" w:eastAsia="Calibri" w:cs="Times New Roman"/>
                <w:color w:val="auto"/>
                <w:sz w:val="20"/>
                <w:szCs w:val="20"/>
              </w:rPr>
              <w:t>Исполнение - до 2 рабочих дней либо в согласованный срок.</w:t>
            </w:r>
          </w:p>
        </w:tc>
      </w:tr>
      <w:tr w14:paraId="54C5D4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833" w:type="pct"/>
            <w:tcMar>
              <w:top w:w="80" w:type="dxa"/>
              <w:left w:w="120" w:type="dxa"/>
              <w:bottom w:w="80" w:type="dxa"/>
              <w:right w:w="120" w:type="dxa"/>
            </w:tcMar>
            <w:vAlign w:val="center"/>
          </w:tcPr>
          <w:p w14:paraId="30D07987">
            <w:pPr>
              <w:pStyle w:val="166"/>
              <w:spacing w:line="240" w:lineRule="auto"/>
              <w:rPr>
                <w:rFonts w:ascii="Times New Roman" w:hAnsi="Times New Roman" w:cs="Times New Roman"/>
                <w:color w:val="auto"/>
                <w:sz w:val="20"/>
                <w:szCs w:val="20"/>
              </w:rPr>
            </w:pPr>
            <w:r>
              <w:rPr>
                <w:rFonts w:ascii="Times New Roman" w:hAnsi="Times New Roman" w:eastAsia="Calibri" w:cs="Times New Roman"/>
                <w:color w:val="auto"/>
                <w:sz w:val="20"/>
                <w:szCs w:val="20"/>
              </w:rPr>
              <w:t>Выездной</w:t>
            </w:r>
          </w:p>
        </w:tc>
        <w:tc>
          <w:tcPr>
            <w:tcW w:w="1363" w:type="pct"/>
            <w:tcMar>
              <w:top w:w="80" w:type="dxa"/>
              <w:left w:w="120" w:type="dxa"/>
              <w:bottom w:w="80" w:type="dxa"/>
              <w:right w:w="120" w:type="dxa"/>
            </w:tcMar>
            <w:vAlign w:val="center"/>
          </w:tcPr>
          <w:p w14:paraId="48D306BC">
            <w:pPr>
              <w:pStyle w:val="166"/>
              <w:spacing w:line="240" w:lineRule="auto"/>
              <w:rPr>
                <w:rFonts w:ascii="Times New Roman" w:hAnsi="Times New Roman" w:cs="Times New Roman"/>
                <w:color w:val="auto"/>
                <w:sz w:val="20"/>
                <w:szCs w:val="20"/>
              </w:rPr>
            </w:pPr>
            <w:r>
              <w:rPr>
                <w:rFonts w:ascii="Times New Roman" w:hAnsi="Times New Roman" w:eastAsia="Calibri" w:cs="Times New Roman"/>
                <w:color w:val="auto"/>
                <w:sz w:val="20"/>
                <w:szCs w:val="20"/>
              </w:rPr>
              <w:t>Дистанционное устранение невозможно</w:t>
            </w:r>
          </w:p>
        </w:tc>
        <w:tc>
          <w:tcPr>
            <w:tcW w:w="956" w:type="pct"/>
            <w:tcMar>
              <w:top w:w="80" w:type="dxa"/>
              <w:left w:w="120" w:type="dxa"/>
              <w:bottom w:w="80" w:type="dxa"/>
              <w:right w:w="120" w:type="dxa"/>
            </w:tcMar>
            <w:vAlign w:val="center"/>
          </w:tcPr>
          <w:p w14:paraId="62B63A34">
            <w:pPr>
              <w:pStyle w:val="166"/>
              <w:spacing w:line="240" w:lineRule="auto"/>
              <w:rPr>
                <w:rFonts w:ascii="Times New Roman" w:hAnsi="Times New Roman" w:cs="Times New Roman"/>
                <w:color w:val="auto"/>
                <w:sz w:val="20"/>
                <w:szCs w:val="20"/>
              </w:rPr>
            </w:pPr>
            <w:r>
              <w:rPr>
                <w:rFonts w:ascii="Times New Roman" w:hAnsi="Times New Roman" w:eastAsia="Calibri" w:cs="Times New Roman"/>
                <w:color w:val="auto"/>
                <w:sz w:val="20"/>
                <w:szCs w:val="20"/>
              </w:rPr>
              <w:t>после дистанционной диагностики</w:t>
            </w:r>
          </w:p>
        </w:tc>
        <w:tc>
          <w:tcPr>
            <w:tcW w:w="1848" w:type="pct"/>
            <w:tcMar>
              <w:top w:w="80" w:type="dxa"/>
              <w:left w:w="120" w:type="dxa"/>
              <w:bottom w:w="80" w:type="dxa"/>
              <w:right w:w="120" w:type="dxa"/>
            </w:tcMar>
            <w:vAlign w:val="center"/>
          </w:tcPr>
          <w:p w14:paraId="03E3C9EA">
            <w:pPr>
              <w:pStyle w:val="166"/>
              <w:spacing w:line="240" w:lineRule="auto"/>
              <w:rPr>
                <w:rFonts w:ascii="Times New Roman" w:hAnsi="Times New Roman" w:cs="Times New Roman"/>
                <w:color w:val="auto"/>
                <w:sz w:val="20"/>
                <w:szCs w:val="20"/>
              </w:rPr>
            </w:pPr>
            <w:r>
              <w:rPr>
                <w:rFonts w:ascii="Times New Roman" w:hAnsi="Times New Roman" w:eastAsia="Calibri" w:cs="Times New Roman"/>
                <w:color w:val="auto"/>
                <w:sz w:val="20"/>
                <w:szCs w:val="20"/>
              </w:rPr>
              <w:t>Прибытие специалиста - не позднее 3 рабочих дней.</w:t>
            </w:r>
          </w:p>
        </w:tc>
      </w:tr>
    </w:tbl>
    <w:p w14:paraId="4475F8B5">
      <w:pPr>
        <w:spacing w:after="0" w:line="240" w:lineRule="auto"/>
        <w:jc w:val="both"/>
        <w:rPr>
          <w:rFonts w:ascii="Times New Roman" w:hAnsi="Times New Roman" w:cs="Times New Roman"/>
          <w:color w:val="auto"/>
          <w:sz w:val="20"/>
          <w:szCs w:val="20"/>
        </w:rPr>
      </w:pPr>
      <w:r>
        <w:rPr>
          <w:rFonts w:ascii="Times New Roman" w:hAnsi="Times New Roman" w:cs="Times New Roman"/>
          <w:color w:val="auto"/>
          <w:sz w:val="20"/>
          <w:szCs w:val="20"/>
        </w:rPr>
        <w:t>6.3. При внешней причине сбоя Поставщик проводит первичную диагностику, определяет источник неисправности и письменно уведомляет Заказчика. До восстановления оператором связи, ИС «Социальный кошелек» либо иной третьей стороной Поставщик оказывает необходимое техническое содействие; подтвержденный период устранения внешней причины не учитывается в его SLA.</w:t>
      </w:r>
    </w:p>
    <w:p w14:paraId="5B8E561B">
      <w:pPr>
        <w:pStyle w:val="2"/>
        <w:spacing w:before="0" w:after="0"/>
        <w:rPr>
          <w:rFonts w:ascii="Times New Roman" w:hAnsi="Times New Roman" w:eastAsia="Calibri" w:cs="Times New Roman"/>
          <w:color w:val="auto"/>
          <w:sz w:val="20"/>
          <w:szCs w:val="20"/>
        </w:rPr>
      </w:pPr>
    </w:p>
    <w:p w14:paraId="7CD31928">
      <w:pPr>
        <w:pStyle w:val="2"/>
        <w:spacing w:before="0" w:after="0"/>
        <w:jc w:val="center"/>
        <w:rPr>
          <w:rFonts w:ascii="Times New Roman" w:hAnsi="Times New Roman" w:cs="Times New Roman"/>
          <w:color w:val="auto"/>
          <w:sz w:val="20"/>
          <w:szCs w:val="20"/>
        </w:rPr>
      </w:pPr>
      <w:r>
        <w:rPr>
          <w:rFonts w:ascii="Times New Roman" w:hAnsi="Times New Roman" w:eastAsia="Calibri" w:cs="Times New Roman"/>
          <w:color w:val="auto"/>
          <w:sz w:val="20"/>
          <w:szCs w:val="20"/>
        </w:rPr>
        <w:t>7. Режим обработки и защиты данных</w:t>
      </w:r>
    </w:p>
    <w:p w14:paraId="497918D4">
      <w:pPr>
        <w:spacing w:after="0" w:line="240" w:lineRule="auto"/>
        <w:jc w:val="both"/>
        <w:rPr>
          <w:rFonts w:ascii="Times New Roman" w:hAnsi="Times New Roman" w:cs="Times New Roman"/>
          <w:color w:val="auto"/>
          <w:sz w:val="20"/>
          <w:szCs w:val="20"/>
        </w:rPr>
      </w:pPr>
      <w:r>
        <w:rPr>
          <w:rFonts w:ascii="Times New Roman" w:hAnsi="Times New Roman" w:cs="Times New Roman"/>
          <w:color w:val="auto"/>
          <w:sz w:val="20"/>
          <w:szCs w:val="20"/>
        </w:rPr>
        <w:t>Электронные ресурсы платформы, содержащие персональные данные пользователей, хранятся в базе данных на территории Республики Казахстан; их трансграничное размещение в рамках оказываемой услуги не допускается. Поставщик организует ролевой доступ своих работников, регистрирует их действия и предоставляет доступ только на период и в объеме, объективно необходимых для выполнения конкретного обращения Заказчика. Информационный обмен и удаленное обслуживание осуществляются по защищенным каналам, причем удаленное подключение выполняется с ведома уполномоченного представителя Заказчика и не может использоваться для самостоятельной выгрузки базы пользователей. Для передачи события питания применяется результат идентификации; исходные биометрические изображения и шаблоны не переносятся в облачную платформу, если интеграционный сценарий не требует их обработки на отдельном законном основании. Заказчик обеспечивает наличие законного основания для передачи предусмотренных спецификацией учетных данных, а Поставщик отвечает за их конфиденциальность, целостность, доступность и обработку исключительно в целях исполнения договора с соблюдением законодательства Республики Казахстан.</w:t>
      </w:r>
    </w:p>
    <w:p w14:paraId="18467DC9">
      <w:pPr>
        <w:pStyle w:val="2"/>
        <w:spacing w:before="0" w:after="0"/>
        <w:rPr>
          <w:rFonts w:ascii="Times New Roman" w:hAnsi="Times New Roman" w:eastAsia="Calibri" w:cs="Times New Roman"/>
          <w:color w:val="auto"/>
          <w:sz w:val="20"/>
          <w:szCs w:val="20"/>
        </w:rPr>
      </w:pPr>
    </w:p>
    <w:p w14:paraId="3483E70F">
      <w:pPr>
        <w:pStyle w:val="2"/>
        <w:spacing w:before="0" w:after="0"/>
        <w:jc w:val="center"/>
        <w:rPr>
          <w:rFonts w:ascii="Times New Roman" w:hAnsi="Times New Roman" w:cs="Times New Roman"/>
          <w:color w:val="auto"/>
          <w:sz w:val="20"/>
          <w:szCs w:val="20"/>
        </w:rPr>
      </w:pPr>
      <w:r>
        <w:rPr>
          <w:rFonts w:ascii="Times New Roman" w:hAnsi="Times New Roman" w:eastAsia="Calibri" w:cs="Times New Roman"/>
          <w:color w:val="auto"/>
          <w:sz w:val="20"/>
          <w:szCs w:val="20"/>
        </w:rPr>
        <w:t>8. Проверка результата и расчеты</w:t>
      </w:r>
    </w:p>
    <w:p w14:paraId="43440304">
      <w:pPr>
        <w:spacing w:after="0" w:line="240" w:lineRule="auto"/>
        <w:rPr>
          <w:rFonts w:ascii="Times New Roman" w:hAnsi="Times New Roman" w:cs="Times New Roman"/>
          <w:color w:val="auto"/>
          <w:sz w:val="20"/>
          <w:szCs w:val="20"/>
        </w:rPr>
      </w:pPr>
      <w:r>
        <w:rPr>
          <w:rFonts w:ascii="Times New Roman" w:hAnsi="Times New Roman" w:cs="Times New Roman"/>
          <w:color w:val="auto"/>
          <w:sz w:val="20"/>
          <w:szCs w:val="20"/>
        </w:rPr>
        <w:t>8.1. До выставления электронного акта Поставщик уведомляет Заказчика о готовности результата и обеспечивает проведение следующих контрольных проверок:</w:t>
      </w:r>
    </w:p>
    <w:p w14:paraId="23347EC1">
      <w:pPr>
        <w:pStyle w:val="22"/>
        <w:numPr>
          <w:ilvl w:val="0"/>
          <w:numId w:val="3"/>
        </w:numPr>
        <w:spacing w:after="0" w:line="240" w:lineRule="auto"/>
        <w:rPr>
          <w:rFonts w:ascii="Times New Roman" w:hAnsi="Times New Roman" w:cs="Times New Roman"/>
          <w:color w:val="auto"/>
          <w:sz w:val="20"/>
          <w:szCs w:val="20"/>
        </w:rPr>
      </w:pPr>
      <w:r>
        <w:rPr>
          <w:rFonts w:ascii="Times New Roman" w:hAnsi="Times New Roman" w:cs="Times New Roman"/>
          <w:color w:val="auto"/>
          <w:sz w:val="20"/>
          <w:szCs w:val="20"/>
        </w:rPr>
        <w:t>действующий АПК подключен без замены оборудования, а лицензионный доступ к облачной платформе активирован по 31 декабря 2026 года включительно;</w:t>
      </w:r>
    </w:p>
    <w:p w14:paraId="2FEF84D6">
      <w:pPr>
        <w:numPr>
          <w:ilvl w:val="0"/>
          <w:numId w:val="1"/>
        </w:numPr>
        <w:spacing w:after="0" w:line="240" w:lineRule="auto"/>
        <w:rPr>
          <w:rFonts w:ascii="Times New Roman" w:hAnsi="Times New Roman" w:cs="Times New Roman"/>
          <w:color w:val="auto"/>
          <w:sz w:val="20"/>
          <w:szCs w:val="20"/>
        </w:rPr>
      </w:pPr>
      <w:r>
        <w:rPr>
          <w:rFonts w:ascii="Times New Roman" w:hAnsi="Times New Roman" w:cs="Times New Roman"/>
          <w:color w:val="auto"/>
          <w:sz w:val="20"/>
          <w:szCs w:val="20"/>
        </w:rPr>
        <w:t>контрольное событие питания принято платформой и отражено в промышленном обмене с ИС «Социальный кошелек» без дублирования;</w:t>
      </w:r>
    </w:p>
    <w:p w14:paraId="12C7CD9A">
      <w:pPr>
        <w:numPr>
          <w:ilvl w:val="0"/>
          <w:numId w:val="1"/>
        </w:numPr>
        <w:spacing w:after="0" w:line="240" w:lineRule="auto"/>
        <w:rPr>
          <w:rFonts w:ascii="Times New Roman" w:hAnsi="Times New Roman" w:cs="Times New Roman"/>
          <w:color w:val="auto"/>
          <w:sz w:val="20"/>
          <w:szCs w:val="20"/>
        </w:rPr>
      </w:pPr>
      <w:r>
        <w:rPr>
          <w:rFonts w:ascii="Times New Roman" w:hAnsi="Times New Roman" w:cs="Times New Roman"/>
          <w:color w:val="auto"/>
          <w:sz w:val="20"/>
          <w:szCs w:val="20"/>
        </w:rPr>
        <w:t>Заказчику доступны административный кабинет, обязательные функциональные модули, отчетность и мониторинг, а канал технической поддержки переведен в рабочий режим;</w:t>
      </w:r>
    </w:p>
    <w:p w14:paraId="162747D8">
      <w:pPr>
        <w:numPr>
          <w:ilvl w:val="0"/>
          <w:numId w:val="1"/>
        </w:numPr>
        <w:spacing w:after="0" w:line="240" w:lineRule="auto"/>
        <w:rPr>
          <w:rFonts w:ascii="Times New Roman" w:hAnsi="Times New Roman" w:cs="Times New Roman"/>
          <w:color w:val="auto"/>
          <w:sz w:val="20"/>
          <w:szCs w:val="20"/>
        </w:rPr>
      </w:pPr>
      <w:r>
        <w:rPr>
          <w:rFonts w:ascii="Times New Roman" w:hAnsi="Times New Roman" w:cs="Times New Roman"/>
          <w:color w:val="auto"/>
          <w:sz w:val="20"/>
          <w:szCs w:val="20"/>
        </w:rPr>
        <w:t>предоставлены подтверждающие документы, прямо предусмотренные настоящей технической спецификацией.</w:t>
      </w:r>
    </w:p>
    <w:tbl>
      <w:tblPr>
        <w:tblStyle w:val="12"/>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672"/>
        <w:gridCol w:w="7823"/>
      </w:tblGrid>
      <w:tr w14:paraId="5ECCE1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blHeader/>
        </w:trPr>
        <w:tc>
          <w:tcPr>
            <w:tcW w:w="1273" w:type="pct"/>
            <w:tcMar>
              <w:top w:w="80" w:type="dxa"/>
              <w:left w:w="120" w:type="dxa"/>
              <w:bottom w:w="80" w:type="dxa"/>
              <w:right w:w="120" w:type="dxa"/>
            </w:tcMar>
            <w:vAlign w:val="center"/>
          </w:tcPr>
          <w:p w14:paraId="7BFBD41A">
            <w:pPr>
              <w:pStyle w:val="167"/>
              <w:spacing w:line="240" w:lineRule="auto"/>
              <w:jc w:val="center"/>
              <w:rPr>
                <w:rFonts w:ascii="Times New Roman" w:hAnsi="Times New Roman" w:cs="Times New Roman"/>
                <w:color w:val="auto"/>
                <w:sz w:val="20"/>
                <w:szCs w:val="20"/>
              </w:rPr>
            </w:pPr>
            <w:r>
              <w:rPr>
                <w:rFonts w:ascii="Times New Roman" w:hAnsi="Times New Roman" w:eastAsia="Calibri" w:cs="Times New Roman"/>
                <w:color w:val="auto"/>
                <w:sz w:val="20"/>
                <w:szCs w:val="20"/>
              </w:rPr>
              <w:t>Контрольная проверка</w:t>
            </w:r>
          </w:p>
        </w:tc>
        <w:tc>
          <w:tcPr>
            <w:tcW w:w="3727" w:type="pct"/>
            <w:tcMar>
              <w:top w:w="80" w:type="dxa"/>
              <w:left w:w="120" w:type="dxa"/>
              <w:bottom w:w="80" w:type="dxa"/>
              <w:right w:w="120" w:type="dxa"/>
            </w:tcMar>
            <w:vAlign w:val="center"/>
          </w:tcPr>
          <w:p w14:paraId="0704D0DA">
            <w:pPr>
              <w:pStyle w:val="167"/>
              <w:spacing w:line="240" w:lineRule="auto"/>
              <w:jc w:val="center"/>
              <w:rPr>
                <w:rFonts w:ascii="Times New Roman" w:hAnsi="Times New Roman" w:cs="Times New Roman"/>
                <w:color w:val="auto"/>
                <w:sz w:val="20"/>
                <w:szCs w:val="20"/>
              </w:rPr>
            </w:pPr>
            <w:r>
              <w:rPr>
                <w:rFonts w:ascii="Times New Roman" w:hAnsi="Times New Roman" w:eastAsia="Calibri" w:cs="Times New Roman"/>
                <w:color w:val="auto"/>
                <w:sz w:val="20"/>
                <w:szCs w:val="20"/>
              </w:rPr>
              <w:t>Признак успешного выполнения</w:t>
            </w:r>
          </w:p>
        </w:tc>
      </w:tr>
      <w:tr w14:paraId="5B2262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3" w:type="pct"/>
            <w:tcMar>
              <w:top w:w="80" w:type="dxa"/>
              <w:left w:w="120" w:type="dxa"/>
              <w:bottom w:w="80" w:type="dxa"/>
              <w:right w:w="120" w:type="dxa"/>
            </w:tcMar>
            <w:vAlign w:val="center"/>
          </w:tcPr>
          <w:p w14:paraId="74FEA466">
            <w:pPr>
              <w:pStyle w:val="166"/>
              <w:spacing w:line="240" w:lineRule="auto"/>
              <w:rPr>
                <w:rFonts w:ascii="Times New Roman" w:hAnsi="Times New Roman" w:cs="Times New Roman"/>
                <w:color w:val="auto"/>
                <w:sz w:val="20"/>
                <w:szCs w:val="20"/>
              </w:rPr>
            </w:pPr>
            <w:r>
              <w:rPr>
                <w:rFonts w:ascii="Times New Roman" w:hAnsi="Times New Roman" w:eastAsia="Calibri" w:cs="Times New Roman"/>
                <w:color w:val="auto"/>
                <w:sz w:val="20"/>
                <w:szCs w:val="20"/>
              </w:rPr>
              <w:t>Работа действующего АПК</w:t>
            </w:r>
          </w:p>
        </w:tc>
        <w:tc>
          <w:tcPr>
            <w:tcW w:w="3727" w:type="pct"/>
            <w:tcMar>
              <w:top w:w="80" w:type="dxa"/>
              <w:left w:w="120" w:type="dxa"/>
              <w:bottom w:w="80" w:type="dxa"/>
              <w:right w:w="120" w:type="dxa"/>
            </w:tcMar>
            <w:vAlign w:val="center"/>
          </w:tcPr>
          <w:p w14:paraId="67F5C8B9">
            <w:pPr>
              <w:pStyle w:val="166"/>
              <w:spacing w:line="240" w:lineRule="auto"/>
              <w:rPr>
                <w:rFonts w:ascii="Times New Roman" w:hAnsi="Times New Roman" w:cs="Times New Roman"/>
                <w:color w:val="auto"/>
                <w:sz w:val="20"/>
                <w:szCs w:val="20"/>
              </w:rPr>
            </w:pPr>
            <w:r>
              <w:rPr>
                <w:rFonts w:ascii="Times New Roman" w:hAnsi="Times New Roman" w:eastAsia="Calibri" w:cs="Times New Roman"/>
                <w:color w:val="auto"/>
                <w:sz w:val="20"/>
                <w:szCs w:val="20"/>
              </w:rPr>
              <w:t>Оборудование продолжает выполнять исходную функцию; после подключения не возникли потеря настроек, повторная регистрация или дублирование событий.</w:t>
            </w:r>
          </w:p>
        </w:tc>
      </w:tr>
      <w:tr w14:paraId="50794C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3" w:type="pct"/>
            <w:tcMar>
              <w:top w:w="80" w:type="dxa"/>
              <w:left w:w="120" w:type="dxa"/>
              <w:bottom w:w="80" w:type="dxa"/>
              <w:right w:w="120" w:type="dxa"/>
            </w:tcMar>
            <w:vAlign w:val="center"/>
          </w:tcPr>
          <w:p w14:paraId="511C8986">
            <w:pPr>
              <w:pStyle w:val="166"/>
              <w:spacing w:line="240" w:lineRule="auto"/>
              <w:rPr>
                <w:rFonts w:ascii="Times New Roman" w:hAnsi="Times New Roman" w:cs="Times New Roman"/>
                <w:color w:val="auto"/>
                <w:sz w:val="20"/>
                <w:szCs w:val="20"/>
              </w:rPr>
            </w:pPr>
            <w:r>
              <w:rPr>
                <w:rFonts w:ascii="Times New Roman" w:hAnsi="Times New Roman" w:eastAsia="Calibri" w:cs="Times New Roman"/>
                <w:color w:val="auto"/>
                <w:sz w:val="20"/>
                <w:szCs w:val="20"/>
              </w:rPr>
              <w:t>Лицензионный доступ</w:t>
            </w:r>
          </w:p>
        </w:tc>
        <w:tc>
          <w:tcPr>
            <w:tcW w:w="3727" w:type="pct"/>
            <w:tcMar>
              <w:top w:w="80" w:type="dxa"/>
              <w:left w:w="120" w:type="dxa"/>
              <w:bottom w:w="80" w:type="dxa"/>
              <w:right w:w="120" w:type="dxa"/>
            </w:tcMar>
            <w:vAlign w:val="center"/>
          </w:tcPr>
          <w:p w14:paraId="4ED4B039">
            <w:pPr>
              <w:pStyle w:val="166"/>
              <w:spacing w:line="240" w:lineRule="auto"/>
              <w:rPr>
                <w:rFonts w:ascii="Times New Roman" w:hAnsi="Times New Roman" w:cs="Times New Roman"/>
                <w:color w:val="auto"/>
                <w:sz w:val="20"/>
                <w:szCs w:val="20"/>
              </w:rPr>
            </w:pPr>
            <w:r>
              <w:rPr>
                <w:rFonts w:ascii="Times New Roman" w:hAnsi="Times New Roman" w:eastAsia="Calibri" w:cs="Times New Roman"/>
                <w:color w:val="auto"/>
                <w:sz w:val="20"/>
                <w:szCs w:val="20"/>
              </w:rPr>
              <w:t>Учетная запись Заказчика активна; срок доступа отображается по 31.12.2026; полномочия Поставщика при необходимости подтверждены Правообладателем.</w:t>
            </w:r>
          </w:p>
        </w:tc>
      </w:tr>
      <w:tr w14:paraId="17B05D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3" w:type="pct"/>
            <w:tcMar>
              <w:top w:w="80" w:type="dxa"/>
              <w:left w:w="120" w:type="dxa"/>
              <w:bottom w:w="80" w:type="dxa"/>
              <w:right w:w="120" w:type="dxa"/>
            </w:tcMar>
            <w:vAlign w:val="center"/>
          </w:tcPr>
          <w:p w14:paraId="587F7E1C">
            <w:pPr>
              <w:pStyle w:val="166"/>
              <w:spacing w:line="240" w:lineRule="auto"/>
              <w:rPr>
                <w:rFonts w:ascii="Times New Roman" w:hAnsi="Times New Roman" w:cs="Times New Roman"/>
                <w:color w:val="auto"/>
                <w:sz w:val="20"/>
                <w:szCs w:val="20"/>
              </w:rPr>
            </w:pPr>
            <w:r>
              <w:rPr>
                <w:rFonts w:ascii="Times New Roman" w:hAnsi="Times New Roman" w:eastAsia="Calibri" w:cs="Times New Roman"/>
                <w:color w:val="auto"/>
                <w:sz w:val="20"/>
                <w:szCs w:val="20"/>
              </w:rPr>
              <w:t>Обмен с ИС «Социальный кошелек»</w:t>
            </w:r>
          </w:p>
        </w:tc>
        <w:tc>
          <w:tcPr>
            <w:tcW w:w="3727" w:type="pct"/>
            <w:tcMar>
              <w:top w:w="80" w:type="dxa"/>
              <w:left w:w="120" w:type="dxa"/>
              <w:bottom w:w="80" w:type="dxa"/>
              <w:right w:w="120" w:type="dxa"/>
            </w:tcMar>
            <w:vAlign w:val="center"/>
          </w:tcPr>
          <w:p w14:paraId="2E15DC47">
            <w:pPr>
              <w:pStyle w:val="166"/>
              <w:spacing w:line="240" w:lineRule="auto"/>
              <w:rPr>
                <w:rFonts w:ascii="Times New Roman" w:hAnsi="Times New Roman" w:cs="Times New Roman"/>
                <w:color w:val="auto"/>
                <w:sz w:val="20"/>
                <w:szCs w:val="20"/>
              </w:rPr>
            </w:pPr>
            <w:r>
              <w:rPr>
                <w:rFonts w:ascii="Times New Roman" w:hAnsi="Times New Roman" w:eastAsia="Calibri" w:cs="Times New Roman"/>
                <w:color w:val="auto"/>
                <w:sz w:val="20"/>
                <w:szCs w:val="20"/>
              </w:rPr>
              <w:t>Контрольное событие принято промышленным контуром и может быть сопоставлено с пользователем, организацией, оборудованием, датой и временем.</w:t>
            </w:r>
          </w:p>
        </w:tc>
      </w:tr>
      <w:tr w14:paraId="1D9739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3" w:type="pct"/>
            <w:tcMar>
              <w:top w:w="80" w:type="dxa"/>
              <w:left w:w="120" w:type="dxa"/>
              <w:bottom w:w="80" w:type="dxa"/>
              <w:right w:w="120" w:type="dxa"/>
            </w:tcMar>
            <w:vAlign w:val="center"/>
          </w:tcPr>
          <w:p w14:paraId="63EE5340">
            <w:pPr>
              <w:pStyle w:val="166"/>
              <w:spacing w:line="240" w:lineRule="auto"/>
              <w:rPr>
                <w:rFonts w:ascii="Times New Roman" w:hAnsi="Times New Roman" w:cs="Times New Roman"/>
                <w:color w:val="auto"/>
                <w:sz w:val="20"/>
                <w:szCs w:val="20"/>
              </w:rPr>
            </w:pPr>
            <w:r>
              <w:rPr>
                <w:rFonts w:ascii="Times New Roman" w:hAnsi="Times New Roman" w:eastAsia="Calibri" w:cs="Times New Roman"/>
                <w:color w:val="auto"/>
                <w:sz w:val="20"/>
                <w:szCs w:val="20"/>
              </w:rPr>
              <w:t>Функционал и поддержка</w:t>
            </w:r>
          </w:p>
        </w:tc>
        <w:tc>
          <w:tcPr>
            <w:tcW w:w="3727" w:type="pct"/>
            <w:tcMar>
              <w:top w:w="80" w:type="dxa"/>
              <w:left w:w="120" w:type="dxa"/>
              <w:bottom w:w="80" w:type="dxa"/>
              <w:right w:w="120" w:type="dxa"/>
            </w:tcMar>
            <w:vAlign w:val="center"/>
          </w:tcPr>
          <w:p w14:paraId="48FC9970">
            <w:pPr>
              <w:pStyle w:val="166"/>
              <w:spacing w:line="240" w:lineRule="auto"/>
              <w:rPr>
                <w:rFonts w:ascii="Times New Roman" w:hAnsi="Times New Roman" w:cs="Times New Roman"/>
                <w:color w:val="auto"/>
                <w:sz w:val="20"/>
                <w:szCs w:val="20"/>
              </w:rPr>
            </w:pPr>
            <w:r>
              <w:rPr>
                <w:rFonts w:ascii="Times New Roman" w:hAnsi="Times New Roman" w:eastAsia="Calibri" w:cs="Times New Roman"/>
                <w:color w:val="auto"/>
                <w:sz w:val="20"/>
                <w:szCs w:val="20"/>
              </w:rPr>
              <w:t>Открыты кабинет, отчеты, мониторинг и предусмотренные модули; зарегистрированы каналы обращений и ответственный сертифицированный специалист.</w:t>
            </w:r>
          </w:p>
        </w:tc>
      </w:tr>
      <w:tr w14:paraId="009A1E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3" w:type="pct"/>
            <w:tcMar>
              <w:top w:w="80" w:type="dxa"/>
              <w:left w:w="120" w:type="dxa"/>
              <w:bottom w:w="80" w:type="dxa"/>
              <w:right w:w="120" w:type="dxa"/>
            </w:tcMar>
            <w:vAlign w:val="center"/>
          </w:tcPr>
          <w:p w14:paraId="5DC632DA">
            <w:pPr>
              <w:pStyle w:val="166"/>
              <w:spacing w:line="240" w:lineRule="auto"/>
              <w:rPr>
                <w:rFonts w:ascii="Times New Roman" w:hAnsi="Times New Roman" w:cs="Times New Roman"/>
                <w:color w:val="auto"/>
                <w:sz w:val="20"/>
                <w:szCs w:val="20"/>
              </w:rPr>
            </w:pPr>
            <w:r>
              <w:rPr>
                <w:rFonts w:ascii="Times New Roman" w:hAnsi="Times New Roman" w:eastAsia="Calibri" w:cs="Times New Roman"/>
                <w:color w:val="auto"/>
                <w:sz w:val="20"/>
                <w:szCs w:val="20"/>
              </w:rPr>
              <w:t>Комплект документов</w:t>
            </w:r>
          </w:p>
        </w:tc>
        <w:tc>
          <w:tcPr>
            <w:tcW w:w="3727" w:type="pct"/>
            <w:tcMar>
              <w:top w:w="80" w:type="dxa"/>
              <w:left w:w="120" w:type="dxa"/>
              <w:bottom w:w="80" w:type="dxa"/>
              <w:right w:w="120" w:type="dxa"/>
            </w:tcMar>
            <w:vAlign w:val="center"/>
          </w:tcPr>
          <w:p w14:paraId="1799C152">
            <w:pPr>
              <w:pStyle w:val="166"/>
              <w:spacing w:line="240" w:lineRule="auto"/>
              <w:rPr>
                <w:rFonts w:ascii="Times New Roman" w:hAnsi="Times New Roman" w:cs="Times New Roman"/>
                <w:color w:val="auto"/>
                <w:sz w:val="20"/>
                <w:szCs w:val="20"/>
              </w:rPr>
            </w:pPr>
            <w:r>
              <w:rPr>
                <w:rFonts w:ascii="Times New Roman" w:hAnsi="Times New Roman" w:eastAsia="Calibri" w:cs="Times New Roman"/>
                <w:color w:val="auto"/>
                <w:sz w:val="20"/>
                <w:szCs w:val="20"/>
              </w:rPr>
              <w:t>Получены выписка из реестра, протоколы, подтверждение интеграции, лицензии и начала сопровождения; после этого оформляется единый электронный акт.</w:t>
            </w:r>
          </w:p>
        </w:tc>
      </w:tr>
    </w:tbl>
    <w:p w14:paraId="4D8D63F7">
      <w:pPr>
        <w:spacing w:after="0" w:line="240" w:lineRule="auto"/>
        <w:jc w:val="both"/>
        <w:rPr>
          <w:rFonts w:ascii="Times New Roman" w:hAnsi="Times New Roman" w:cs="Times New Roman"/>
          <w:color w:val="auto"/>
          <w:sz w:val="20"/>
          <w:szCs w:val="20"/>
        </w:rPr>
      </w:pPr>
      <w:r>
        <w:rPr>
          <w:rFonts w:ascii="Times New Roman" w:hAnsi="Times New Roman" w:cs="Times New Roman"/>
          <w:color w:val="auto"/>
          <w:sz w:val="20"/>
          <w:szCs w:val="20"/>
        </w:rPr>
        <w:t>8.2. Заказчик проводит проверку непосредственно в предоставленной учетной записи и вправе обратиться к Правообладателю для подтверждения лицензии. Проверка обмена выполняется по контрольному событию либо по записи промышленного контура. Выявленное несоответствие подлежит устранению до подписания акта.</w:t>
      </w:r>
    </w:p>
    <w:p w14:paraId="4440CFB3">
      <w:pPr>
        <w:spacing w:after="0" w:line="240" w:lineRule="auto"/>
        <w:jc w:val="both"/>
        <w:rPr>
          <w:rFonts w:ascii="Times New Roman" w:hAnsi="Times New Roman" w:cs="Times New Roman"/>
          <w:color w:val="auto"/>
          <w:sz w:val="20"/>
          <w:szCs w:val="20"/>
        </w:rPr>
      </w:pPr>
      <w:r>
        <w:rPr>
          <w:rFonts w:ascii="Times New Roman" w:hAnsi="Times New Roman" w:cs="Times New Roman"/>
          <w:color w:val="auto"/>
          <w:sz w:val="20"/>
          <w:szCs w:val="20"/>
        </w:rPr>
        <w:t>8.3. По результату оформляется один электронный акт на комплексную услугу. Оплата производится одной суммой после интеграции, активации лицензии и начала сопровождения. Подписание акта не прекращает обязанность Поставщика обеспечивать доступ, работоспособность интеграции и техническую поддержку по 31 декабря 2026 года включительно.</w:t>
      </w:r>
    </w:p>
    <w:p w14:paraId="568E6281">
      <w:pPr>
        <w:pStyle w:val="2"/>
        <w:spacing w:before="0" w:after="0"/>
        <w:rPr>
          <w:rFonts w:ascii="Times New Roman" w:hAnsi="Times New Roman" w:eastAsia="Calibri" w:cs="Times New Roman"/>
          <w:color w:val="auto"/>
          <w:sz w:val="20"/>
          <w:szCs w:val="20"/>
        </w:rPr>
      </w:pPr>
    </w:p>
    <w:p w14:paraId="056CDF1F">
      <w:pPr>
        <w:pStyle w:val="2"/>
        <w:spacing w:before="0" w:after="0"/>
        <w:jc w:val="center"/>
        <w:rPr>
          <w:rFonts w:ascii="Times New Roman" w:hAnsi="Times New Roman" w:cs="Times New Roman"/>
          <w:color w:val="auto"/>
          <w:sz w:val="20"/>
          <w:szCs w:val="20"/>
        </w:rPr>
      </w:pPr>
      <w:r>
        <w:rPr>
          <w:rFonts w:ascii="Times New Roman" w:hAnsi="Times New Roman" w:eastAsia="Calibri" w:cs="Times New Roman"/>
          <w:color w:val="auto"/>
          <w:sz w:val="20"/>
          <w:szCs w:val="20"/>
        </w:rPr>
        <w:t>9. Границы ответственности сторон</w:t>
      </w:r>
    </w:p>
    <w:p w14:paraId="3CB85A9D">
      <w:pPr>
        <w:spacing w:after="0" w:line="240" w:lineRule="auto"/>
        <w:jc w:val="both"/>
        <w:rPr>
          <w:rFonts w:ascii="Times New Roman" w:hAnsi="Times New Roman" w:cs="Times New Roman"/>
          <w:color w:val="auto"/>
          <w:sz w:val="20"/>
          <w:szCs w:val="20"/>
        </w:rPr>
      </w:pPr>
      <w:r>
        <w:rPr>
          <w:rFonts w:ascii="Times New Roman" w:hAnsi="Times New Roman" w:cs="Times New Roman"/>
          <w:color w:val="auto"/>
          <w:sz w:val="20"/>
          <w:szCs w:val="20"/>
        </w:rPr>
        <w:t>В цену услуги не входят поставка или замена оборудования, терминалов, источников питания, комплектующих и иных материальных ценностей: Поставщик обслуживает фактически установленный АПК в пределах диагностики, настройки, проверки соединений и восстановления программного взаимодействия. Ремонт после механического повреждения, замена неисправных деталей, прокладка кабелей, ремонт электропитания и восстановление локальной сети Заказчика выполняются только на основании отдельного решения Заказчика и к предмету настоящего договора не относятся. Договор также не предусматривает приобретение оборудования для новых модулей, создание интеграций с иными системами, кроме ИС «Социальный кошелек», или предоставление лицензий другим организациям; сама доступность функциональных модулей платформы не означает обязанность по их аппаратному оснащению. Поставщик не оплачивает услуги связи и не несет ответственность за продолжительность сбоя, вызванного подтвержденной неисправностью внешнего оператора или государственной системы, однако обязан диагностировать проблему, уведомить Заказчика и содействовать восстановлению обмена.</w:t>
      </w:r>
    </w:p>
    <w:p w14:paraId="2744BB5E">
      <w:pPr>
        <w:pStyle w:val="2"/>
        <w:spacing w:before="0" w:after="0"/>
        <w:rPr>
          <w:rFonts w:ascii="Times New Roman" w:hAnsi="Times New Roman" w:eastAsia="Calibri" w:cs="Times New Roman"/>
          <w:color w:val="auto"/>
          <w:sz w:val="20"/>
          <w:szCs w:val="20"/>
        </w:rPr>
      </w:pPr>
    </w:p>
    <w:p w14:paraId="0A73A078">
      <w:pPr>
        <w:pStyle w:val="2"/>
        <w:spacing w:before="0" w:after="0"/>
        <w:jc w:val="center"/>
        <w:rPr>
          <w:rFonts w:ascii="Times New Roman" w:hAnsi="Times New Roman" w:cs="Times New Roman"/>
          <w:color w:val="auto"/>
          <w:sz w:val="20"/>
          <w:szCs w:val="20"/>
        </w:rPr>
      </w:pPr>
      <w:r>
        <w:rPr>
          <w:rFonts w:ascii="Times New Roman" w:hAnsi="Times New Roman" w:eastAsia="Calibri" w:cs="Times New Roman"/>
          <w:color w:val="auto"/>
          <w:sz w:val="20"/>
          <w:szCs w:val="20"/>
        </w:rPr>
        <w:t>10. Состояние системы по итогам исполнения</w:t>
      </w:r>
    </w:p>
    <w:p w14:paraId="10DFC362">
      <w:pPr>
        <w:keepLines/>
        <w:spacing w:after="0" w:line="240" w:lineRule="auto"/>
        <w:jc w:val="both"/>
        <w:rPr>
          <w:rFonts w:ascii="Times New Roman" w:hAnsi="Times New Roman" w:cs="Times New Roman"/>
          <w:color w:val="auto"/>
          <w:sz w:val="20"/>
          <w:szCs w:val="20"/>
        </w:rPr>
      </w:pPr>
      <w:r>
        <w:rPr>
          <w:rFonts w:ascii="Times New Roman" w:hAnsi="Times New Roman" w:cs="Times New Roman"/>
          <w:color w:val="auto"/>
          <w:sz w:val="20"/>
          <w:szCs w:val="20"/>
        </w:rPr>
        <w:t>После исполнения договора установленный у Заказчика АПК продолжает применяться по назначению и передает подтвержденные события питания в облачную платформу и ИС «Социальный кошелек». Заказчик получает лицензионный доступ к расширенному функционалу по 31 декабря 2026 года, а Поставщик обеспечивает техническое обслуживание и поддержку до окончания договора.</w:t>
      </w:r>
    </w:p>
    <w:sectPr>
      <w:pgSz w:w="12240" w:h="15840"/>
      <w:pgMar w:top="851" w:right="851" w:bottom="851" w:left="1134" w:header="709" w:footer="709" w:gutter="0"/>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altName w:val="Arial Unicode MS"/>
    <w:panose1 w:val="00000000000000000000"/>
    <w:charset w:val="86"/>
    <w:family w:val="auto"/>
    <w:pitch w:val="default"/>
    <w:sig w:usb0="00000000" w:usb1="00000000" w:usb2="00000000" w:usb3="00000000" w:csb0="00000000" w:csb1="00000000"/>
  </w:font>
  <w:font w:name="Cambria">
    <w:panose1 w:val="02040503050406030204"/>
    <w:charset w:val="CC"/>
    <w:family w:val="roman"/>
    <w:pitch w:val="default"/>
    <w:sig w:usb0="E00006FF" w:usb1="420024FF" w:usb2="02000000" w:usb3="00000000" w:csb0="2000019F" w:csb1="00000000"/>
  </w:font>
  <w:font w:name="Cambria">
    <w:panose1 w:val="02040503050406030204"/>
    <w:charset w:val="00"/>
    <w:family w:val="auto"/>
    <w:pitch w:val="default"/>
    <w:sig w:usb0="E00006FF" w:usb1="420024FF" w:usb2="02000000" w:usb3="00000000" w:csb0="2000019F" w:csb1="00000000"/>
  </w:font>
  <w:font w:name="ＭＳ 明朝">
    <w:altName w:val="SimSun"/>
    <w:panose1 w:val="00000000000000000000"/>
    <w:charset w:val="86"/>
    <w:family w:val="auto"/>
    <w:pitch w:val="default"/>
    <w:sig w:usb0="00000000" w:usb1="00000000" w:usb2="00000000" w:usb3="00000000" w:csb0="00000000" w:csb1="00000000"/>
  </w:font>
  <w:font w:name="Calibri">
    <w:panose1 w:val="020F0502020204030204"/>
    <w:charset w:val="CC"/>
    <w:family w:val="swiss"/>
    <w:pitch w:val="default"/>
    <w:sig w:usb0="E4002EFF" w:usb1="C200247B" w:usb2="00000009" w:usb3="00000000" w:csb0="200001FF" w:csb1="00000000"/>
  </w:font>
  <w:font w:name="MS Gothic">
    <w:panose1 w:val="020B0609070205080204"/>
    <w:charset w:val="80"/>
    <w:family w:val="auto"/>
    <w:pitch w:val="default"/>
    <w:sig w:usb0="E00002FF" w:usb1="6AC7FDFB" w:usb2="08000012" w:usb3="00000000" w:csb0="4002009F" w:csb1="DFD70000"/>
  </w:font>
  <w:font w:name="Courier">
    <w:altName w:val="Courier New"/>
    <w:panose1 w:val="02070409020205020404"/>
    <w:charset w:val="00"/>
    <w:family w:val="modern"/>
    <w:pitch w:val="default"/>
    <w:sig w:usb0="00000000" w:usb1="00000000" w:usb2="00000000" w:usb3="00000000" w:csb0="00000001" w:csb1="00000000"/>
  </w:font>
  <w:font w:name="ＭＳ 明朝">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64" w:lineRule="auto"/>
      </w:pPr>
      <w:r>
        <w:separator/>
      </w:r>
    </w:p>
  </w:footnote>
  <w:footnote w:type="continuationSeparator" w:id="1">
    <w:p>
      <w:pPr>
        <w:spacing w:before="0" w:after="0" w:line="264"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DA32733"/>
    <w:multiLevelType w:val="singleLevel"/>
    <w:tmpl w:val="1DA32733"/>
    <w:lvl w:ilvl="0" w:tentative="0">
      <w:start w:val="1"/>
      <w:numFmt w:val="decimal"/>
      <w:pStyle w:val="22"/>
      <w:lvlText w:val="%1."/>
      <w:lvlJc w:val="left"/>
      <w:pPr>
        <w:tabs>
          <w:tab w:val="left" w:pos="720"/>
        </w:tabs>
        <w:spacing w:before="0" w:after="160" w:line="280" w:lineRule="auto"/>
        <w:ind w:left="720" w:hanging="360"/>
      </w:pPr>
      <w:rPr>
        <w:rFonts w:hint="default" w:ascii="Times New Roman" w:hAnsi="Times New Roman" w:eastAsia="Calibri" w:cs="Times New Roman"/>
      </w:rPr>
    </w:lvl>
  </w:abstractNum>
  <w:num w:numId="1">
    <w:abstractNumId w:val="0"/>
  </w:num>
  <w:num w:numId="2">
    <w:abstractNumId w:val="0"/>
    <w:lvlOverride w:ilvl="0">
      <w:startOverride w:val="1"/>
    </w:lvlOverride>
  </w:num>
  <w:num w:numId="3">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17338"/>
    <w:rsid w:val="0002334B"/>
    <w:rsid w:val="00034616"/>
    <w:rsid w:val="0006063C"/>
    <w:rsid w:val="0007583F"/>
    <w:rsid w:val="000C32AA"/>
    <w:rsid w:val="0015074B"/>
    <w:rsid w:val="0029639D"/>
    <w:rsid w:val="00326F90"/>
    <w:rsid w:val="004E7B06"/>
    <w:rsid w:val="005249FF"/>
    <w:rsid w:val="006E4515"/>
    <w:rsid w:val="00795202"/>
    <w:rsid w:val="00AA1D8D"/>
    <w:rsid w:val="00B45E07"/>
    <w:rsid w:val="00B47730"/>
    <w:rsid w:val="00B706E3"/>
    <w:rsid w:val="00CB0664"/>
    <w:rsid w:val="00D667BB"/>
    <w:rsid w:val="00FC693F"/>
    <w:rsid w:val="33016792"/>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ja-JP"/>
  <w:clrSchemeMapping w:bg1="light1" w:t1="dark1" w:bg2="light2" w:t2="dark2" w:accent1="accent1" w:accent2="accent2" w:accent3="accent3" w:accent4="accent4" w:accent5="accent5" w:accent6="accent6" w:hyperlink="hyperlink" w:followedHyperlink="followedHyperlink"/>
  <w:doNotIncludeSubdocsInStats/>
  <w14:defaultImageDpi w14:val="300"/>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semiHidden="0" w:name="macro"/>
    <w:lsdException w:uiPriority="99" w:name="toa heading"/>
    <w:lsdException w:uiPriority="99" w:semiHidden="0" w:name="List"/>
    <w:lsdException w:uiPriority="99" w:semiHidden="0" w:name="List Bullet"/>
    <w:lsdException w:uiPriority="99" w:semiHidden="0" w:name="List Number"/>
    <w:lsdException w:uiPriority="99" w:semiHidden="0" w:name="List 2"/>
    <w:lsdException w:uiPriority="99" w:semiHidden="0" w:name="List 3"/>
    <w:lsdException w:uiPriority="99" w:name="List 4"/>
    <w:lsdException w:uiPriority="99" w:name="List 5"/>
    <w:lsdException w:uiPriority="99" w:semiHidden="0" w:name="List Bullet 2"/>
    <w:lsdException w:uiPriority="99" w:semiHidden="0" w:name="List Bullet 3"/>
    <w:lsdException w:uiPriority="99" w:name="List Bullet 4"/>
    <w:lsdException w:uiPriority="99" w:name="List Bullet 5"/>
    <w:lsdException w:uiPriority="99" w:semiHidden="0" w:name="List Number 2"/>
    <w:lsdException w:uiPriority="99" w:semiHidden="0"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semiHidden="0" w:name="Body Text"/>
    <w:lsdException w:uiPriority="99" w:name="Body Text Indent"/>
    <w:lsdException w:uiPriority="99" w:semiHidden="0" w:name="List Continue"/>
    <w:lsdException w:uiPriority="99" w:semiHidden="0" w:name="List Continue 2"/>
    <w:lsdException w:uiPriority="99" w:semiHidden="0"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semiHidden="0" w:name="Body Text 2"/>
    <w:lsdException w:uiPriority="99" w:semiHidden="0"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20" w:line="264" w:lineRule="auto"/>
    </w:pPr>
    <w:rPr>
      <w:rFonts w:ascii="Calibri" w:hAnsi="Calibri" w:eastAsia="Calibri" w:cstheme="minorBidi"/>
      <w:color w:val="202020"/>
      <w:sz w:val="22"/>
      <w:szCs w:val="22"/>
      <w:lang w:val="ru-RU" w:eastAsia="en-US" w:bidi="ar-SA"/>
    </w:rPr>
  </w:style>
  <w:style w:type="paragraph" w:styleId="2">
    <w:name w:val="heading 1"/>
    <w:basedOn w:val="1"/>
    <w:next w:val="1"/>
    <w:link w:val="40"/>
    <w:qFormat/>
    <w:uiPriority w:val="9"/>
    <w:pPr>
      <w:keepNext/>
      <w:keepLines/>
      <w:spacing w:before="320" w:after="160" w:line="240" w:lineRule="auto"/>
      <w:outlineLvl w:val="0"/>
    </w:pPr>
    <w:rPr>
      <w:rFonts w:asciiTheme="majorHAnsi" w:hAnsiTheme="majorHAnsi" w:eastAsiaTheme="majorEastAsia" w:cstheme="majorBidi"/>
      <w:b/>
      <w:bCs/>
      <w:color w:val="2E74B5"/>
      <w:sz w:val="32"/>
      <w:szCs w:val="28"/>
    </w:rPr>
  </w:style>
  <w:style w:type="paragraph" w:styleId="3">
    <w:name w:val="heading 2"/>
    <w:basedOn w:val="1"/>
    <w:next w:val="1"/>
    <w:link w:val="41"/>
    <w:unhideWhenUsed/>
    <w:qFormat/>
    <w:uiPriority w:val="9"/>
    <w:pPr>
      <w:keepNext/>
      <w:keepLines/>
      <w:spacing w:before="240" w:line="240" w:lineRule="auto"/>
      <w:outlineLvl w:val="1"/>
    </w:pPr>
    <w:rPr>
      <w:rFonts w:asciiTheme="majorHAnsi" w:hAnsiTheme="majorHAnsi" w:eastAsiaTheme="majorEastAsia" w:cstheme="majorBidi"/>
      <w:b/>
      <w:bCs/>
      <w:color w:val="2E74B5"/>
      <w:sz w:val="26"/>
      <w:szCs w:val="26"/>
    </w:rPr>
  </w:style>
  <w:style w:type="paragraph" w:styleId="4">
    <w:name w:val="heading 3"/>
    <w:basedOn w:val="1"/>
    <w:next w:val="1"/>
    <w:link w:val="42"/>
    <w:unhideWhenUsed/>
    <w:qFormat/>
    <w:uiPriority w:val="9"/>
    <w:pPr>
      <w:keepNext/>
      <w:keepLines/>
      <w:spacing w:before="160" w:after="80" w:line="240" w:lineRule="auto"/>
      <w:outlineLvl w:val="2"/>
    </w:pPr>
    <w:rPr>
      <w:rFonts w:asciiTheme="majorHAnsi" w:hAnsiTheme="majorHAnsi" w:eastAsiaTheme="majorEastAsia" w:cstheme="majorBidi"/>
      <w:b/>
      <w:bCs/>
      <w:color w:val="1F4D78"/>
      <w:sz w:val="24"/>
    </w:rPr>
  </w:style>
  <w:style w:type="paragraph" w:styleId="5">
    <w:name w:val="heading 4"/>
    <w:basedOn w:val="1"/>
    <w:next w:val="1"/>
    <w:link w:val="52"/>
    <w:semiHidden/>
    <w:unhideWhenUsed/>
    <w:qFormat/>
    <w:uiPriority w:val="9"/>
    <w:pPr>
      <w:keepNext/>
      <w:keepLines/>
      <w:spacing w:before="200" w:after="0"/>
      <w:outlineLvl w:val="3"/>
    </w:pPr>
    <w:rPr>
      <w:rFonts w:asciiTheme="majorHAnsi" w:hAnsiTheme="majorHAnsi" w:eastAsiaTheme="majorEastAsia" w:cstheme="majorBidi"/>
      <w:b/>
      <w:bCs/>
      <w:i/>
      <w:iCs/>
      <w:color w:val="4F81BD" w:themeColor="accent1"/>
      <w14:textFill>
        <w14:solidFill>
          <w14:schemeClr w14:val="accent1"/>
        </w14:solidFill>
      </w14:textFill>
    </w:rPr>
  </w:style>
  <w:style w:type="paragraph" w:styleId="6">
    <w:name w:val="heading 5"/>
    <w:basedOn w:val="1"/>
    <w:next w:val="1"/>
    <w:link w:val="53"/>
    <w:semiHidden/>
    <w:unhideWhenUsed/>
    <w:qFormat/>
    <w:uiPriority w:val="9"/>
    <w:pPr>
      <w:keepNext/>
      <w:keepLines/>
      <w:spacing w:before="200" w:after="0"/>
      <w:outlineLvl w:val="4"/>
    </w:pPr>
    <w:rPr>
      <w:rFonts w:asciiTheme="majorHAnsi" w:hAnsiTheme="majorHAnsi" w:eastAsiaTheme="majorEastAsia" w:cstheme="majorBidi"/>
      <w:color w:val="254061" w:themeColor="accent1" w:themeShade="80"/>
    </w:rPr>
  </w:style>
  <w:style w:type="paragraph" w:styleId="7">
    <w:name w:val="heading 6"/>
    <w:basedOn w:val="1"/>
    <w:next w:val="1"/>
    <w:link w:val="54"/>
    <w:semiHidden/>
    <w:unhideWhenUsed/>
    <w:qFormat/>
    <w:uiPriority w:val="9"/>
    <w:pPr>
      <w:keepNext/>
      <w:keepLines/>
      <w:spacing w:before="200" w:after="0"/>
      <w:outlineLvl w:val="5"/>
    </w:pPr>
    <w:rPr>
      <w:rFonts w:asciiTheme="majorHAnsi" w:hAnsiTheme="majorHAnsi" w:eastAsiaTheme="majorEastAsia" w:cstheme="majorBidi"/>
      <w:i/>
      <w:iCs/>
      <w:color w:val="254061" w:themeColor="accent1" w:themeShade="80"/>
    </w:rPr>
  </w:style>
  <w:style w:type="paragraph" w:styleId="8">
    <w:name w:val="heading 7"/>
    <w:basedOn w:val="1"/>
    <w:next w:val="1"/>
    <w:link w:val="55"/>
    <w:semiHidden/>
    <w:unhideWhenUsed/>
    <w:qFormat/>
    <w:uiPriority w:val="9"/>
    <w:pPr>
      <w:keepNext/>
      <w:keepLines/>
      <w:spacing w:before="200" w:after="0"/>
      <w:outlineLvl w:val="6"/>
    </w:pPr>
    <w:rPr>
      <w:rFonts w:asciiTheme="majorHAnsi" w:hAnsiTheme="majorHAnsi" w:eastAsiaTheme="majorEastAsia" w:cstheme="majorBidi"/>
      <w:i/>
      <w:iCs/>
      <w:color w:val="404040" w:themeColor="text1" w:themeTint="BF"/>
      <w14:textFill>
        <w14:solidFill>
          <w14:schemeClr w14:val="tx1">
            <w14:lumMod w14:val="75000"/>
            <w14:lumOff w14:val="25000"/>
          </w14:schemeClr>
        </w14:solidFill>
      </w14:textFill>
    </w:rPr>
  </w:style>
  <w:style w:type="paragraph" w:styleId="9">
    <w:name w:val="heading 8"/>
    <w:basedOn w:val="1"/>
    <w:next w:val="1"/>
    <w:link w:val="56"/>
    <w:semiHidden/>
    <w:unhideWhenUsed/>
    <w:qFormat/>
    <w:uiPriority w:val="9"/>
    <w:pPr>
      <w:keepNext/>
      <w:keepLines/>
      <w:spacing w:before="200" w:after="0"/>
      <w:outlineLvl w:val="7"/>
    </w:pPr>
    <w:rPr>
      <w:rFonts w:asciiTheme="majorHAnsi" w:hAnsiTheme="majorHAnsi" w:eastAsiaTheme="majorEastAsia" w:cstheme="majorBidi"/>
      <w:color w:val="4F81BD" w:themeColor="accent1"/>
      <w:sz w:val="20"/>
      <w:szCs w:val="20"/>
      <w14:textFill>
        <w14:solidFill>
          <w14:schemeClr w14:val="accent1"/>
        </w14:solidFill>
      </w14:textFill>
    </w:rPr>
  </w:style>
  <w:style w:type="paragraph" w:styleId="10">
    <w:name w:val="heading 9"/>
    <w:basedOn w:val="1"/>
    <w:next w:val="1"/>
    <w:link w:val="57"/>
    <w:semiHidden/>
    <w:unhideWhenUsed/>
    <w:qFormat/>
    <w:uiPriority w:val="9"/>
    <w:pPr>
      <w:keepNext/>
      <w:keepLines/>
      <w:spacing w:before="200" w:after="0"/>
      <w:outlineLvl w:val="8"/>
    </w:pPr>
    <w:rPr>
      <w:rFonts w:asciiTheme="majorHAnsi" w:hAnsiTheme="majorHAnsi" w:eastAsiaTheme="majorEastAsia" w:cstheme="majorBidi"/>
      <w:i/>
      <w:iCs/>
      <w:color w:val="404040" w:themeColor="text1" w:themeTint="BF"/>
      <w:sz w:val="20"/>
      <w:szCs w:val="20"/>
      <w14:textFill>
        <w14:solidFill>
          <w14:schemeClr w14:val="tx1">
            <w14:lumMod w14:val="75000"/>
            <w14:lumOff w14:val="25000"/>
          </w14:schemeClr>
        </w14:solidFill>
      </w14:textFill>
    </w:rPr>
  </w:style>
  <w:style w:type="character" w:default="1" w:styleId="11">
    <w:name w:val="Default Paragraph Font"/>
    <w:semiHidden/>
    <w:unhideWhenUsed/>
    <w:uiPriority w:val="1"/>
  </w:style>
  <w:style w:type="table" w:default="1" w:styleId="12">
    <w:name w:val="Normal Table"/>
    <w:semiHidden/>
    <w:unhideWhenUsed/>
    <w:uiPriority w:val="99"/>
    <w:tblPr>
      <w:tblCellMar>
        <w:top w:w="0" w:type="dxa"/>
        <w:left w:w="108" w:type="dxa"/>
        <w:bottom w:w="0" w:type="dxa"/>
        <w:right w:w="108" w:type="dxa"/>
      </w:tblCellMar>
    </w:tblPr>
  </w:style>
  <w:style w:type="character" w:styleId="13">
    <w:name w:val="Emphasis"/>
    <w:basedOn w:val="11"/>
    <w:qFormat/>
    <w:uiPriority w:val="20"/>
    <w:rPr>
      <w:i/>
      <w:iCs/>
    </w:rPr>
  </w:style>
  <w:style w:type="character" w:styleId="14">
    <w:name w:val="Strong"/>
    <w:basedOn w:val="11"/>
    <w:qFormat/>
    <w:uiPriority w:val="22"/>
    <w:rPr>
      <w:b/>
      <w:bCs/>
    </w:rPr>
  </w:style>
  <w:style w:type="paragraph" w:styleId="15">
    <w:name w:val="List Continue"/>
    <w:basedOn w:val="1"/>
    <w:unhideWhenUsed/>
    <w:uiPriority w:val="99"/>
    <w:pPr>
      <w:ind w:left="360"/>
      <w:contextualSpacing/>
    </w:pPr>
  </w:style>
  <w:style w:type="paragraph" w:styleId="16">
    <w:name w:val="Body Text 2"/>
    <w:basedOn w:val="1"/>
    <w:link w:val="47"/>
    <w:unhideWhenUsed/>
    <w:uiPriority w:val="99"/>
    <w:pPr>
      <w:spacing w:line="480" w:lineRule="auto"/>
    </w:pPr>
  </w:style>
  <w:style w:type="paragraph" w:styleId="17">
    <w:name w:val="caption"/>
    <w:basedOn w:val="1"/>
    <w:next w:val="1"/>
    <w:semiHidden/>
    <w:unhideWhenUsed/>
    <w:qFormat/>
    <w:uiPriority w:val="35"/>
    <w:pPr>
      <w:spacing w:line="240" w:lineRule="auto"/>
    </w:pPr>
    <w:rPr>
      <w:b/>
      <w:bCs/>
      <w:color w:val="4F81BD" w:themeColor="accent1"/>
      <w:sz w:val="18"/>
      <w:szCs w:val="18"/>
      <w14:textFill>
        <w14:solidFill>
          <w14:schemeClr w14:val="accent1"/>
        </w14:solidFill>
      </w14:textFill>
    </w:rPr>
  </w:style>
  <w:style w:type="paragraph" w:styleId="18">
    <w:name w:val="List Number 3"/>
    <w:basedOn w:val="1"/>
    <w:unhideWhenUsed/>
    <w:uiPriority w:val="99"/>
    <w:pPr>
      <w:tabs>
        <w:tab w:val="left" w:pos="360"/>
      </w:tabs>
      <w:contextualSpacing/>
    </w:pPr>
  </w:style>
  <w:style w:type="paragraph" w:styleId="19">
    <w:name w:val="header"/>
    <w:basedOn w:val="1"/>
    <w:link w:val="37"/>
    <w:unhideWhenUsed/>
    <w:uiPriority w:val="99"/>
    <w:pPr>
      <w:tabs>
        <w:tab w:val="center" w:pos="4680"/>
        <w:tab w:val="right" w:pos="9360"/>
      </w:tabs>
      <w:spacing w:after="0" w:line="240" w:lineRule="auto"/>
    </w:pPr>
  </w:style>
  <w:style w:type="paragraph" w:styleId="20">
    <w:name w:val="Body Text"/>
    <w:basedOn w:val="1"/>
    <w:link w:val="46"/>
    <w:unhideWhenUsed/>
    <w:uiPriority w:val="99"/>
  </w:style>
  <w:style w:type="paragraph" w:styleId="21">
    <w:name w:val="macro"/>
    <w:link w:val="49"/>
    <w:unhideWhenUsed/>
    <w:uiPriority w:val="99"/>
    <w:pPr>
      <w:tabs>
        <w:tab w:val="left" w:pos="576"/>
        <w:tab w:val="left" w:pos="1152"/>
        <w:tab w:val="left" w:pos="1728"/>
        <w:tab w:val="left" w:pos="2304"/>
        <w:tab w:val="left" w:pos="2880"/>
        <w:tab w:val="left" w:pos="3456"/>
        <w:tab w:val="left" w:pos="4032"/>
      </w:tabs>
      <w:spacing w:after="200" w:line="276" w:lineRule="auto"/>
    </w:pPr>
    <w:rPr>
      <w:rFonts w:ascii="Courier" w:hAnsi="Courier" w:eastAsiaTheme="minorEastAsia" w:cstheme="minorBidi"/>
      <w:sz w:val="20"/>
      <w:szCs w:val="20"/>
      <w:lang w:val="ru-RU" w:eastAsia="en-US" w:bidi="ar-SA"/>
    </w:rPr>
  </w:style>
  <w:style w:type="paragraph" w:styleId="22">
    <w:name w:val="List Bullet"/>
    <w:basedOn w:val="1"/>
    <w:unhideWhenUsed/>
    <w:uiPriority w:val="99"/>
    <w:pPr>
      <w:numPr>
        <w:ilvl w:val="0"/>
        <w:numId w:val="1"/>
      </w:numPr>
      <w:contextualSpacing/>
    </w:pPr>
  </w:style>
  <w:style w:type="paragraph" w:styleId="23">
    <w:name w:val="List Bullet 2"/>
    <w:basedOn w:val="1"/>
    <w:unhideWhenUsed/>
    <w:uiPriority w:val="99"/>
    <w:pPr>
      <w:tabs>
        <w:tab w:val="left" w:pos="360"/>
      </w:tabs>
      <w:contextualSpacing/>
    </w:pPr>
  </w:style>
  <w:style w:type="paragraph" w:styleId="24">
    <w:name w:val="List Bullet 3"/>
    <w:basedOn w:val="1"/>
    <w:unhideWhenUsed/>
    <w:uiPriority w:val="99"/>
    <w:pPr>
      <w:tabs>
        <w:tab w:val="left" w:pos="360"/>
      </w:tabs>
      <w:contextualSpacing/>
    </w:pPr>
  </w:style>
  <w:style w:type="paragraph" w:styleId="25">
    <w:name w:val="Title"/>
    <w:basedOn w:val="1"/>
    <w:next w:val="1"/>
    <w:link w:val="43"/>
    <w:qFormat/>
    <w:uiPriority w:val="10"/>
    <w:pPr>
      <w:spacing w:after="80" w:line="240" w:lineRule="auto"/>
      <w:contextualSpacing/>
    </w:pPr>
    <w:rPr>
      <w:rFonts w:asciiTheme="majorHAnsi" w:hAnsiTheme="majorHAnsi" w:eastAsiaTheme="majorEastAsia" w:cstheme="majorBidi"/>
      <w:b/>
      <w:color w:val="000000"/>
      <w:spacing w:val="5"/>
      <w:kern w:val="28"/>
      <w:sz w:val="46"/>
      <w:szCs w:val="52"/>
    </w:rPr>
  </w:style>
  <w:style w:type="paragraph" w:styleId="26">
    <w:name w:val="footer"/>
    <w:basedOn w:val="1"/>
    <w:link w:val="38"/>
    <w:unhideWhenUsed/>
    <w:uiPriority w:val="99"/>
    <w:pPr>
      <w:tabs>
        <w:tab w:val="center" w:pos="4680"/>
        <w:tab w:val="right" w:pos="9360"/>
      </w:tabs>
      <w:spacing w:after="0" w:line="240" w:lineRule="auto"/>
    </w:pPr>
  </w:style>
  <w:style w:type="paragraph" w:styleId="27">
    <w:name w:val="List Number"/>
    <w:basedOn w:val="1"/>
    <w:unhideWhenUsed/>
    <w:uiPriority w:val="99"/>
    <w:pPr>
      <w:tabs>
        <w:tab w:val="left" w:pos="360"/>
      </w:tabs>
      <w:contextualSpacing/>
    </w:pPr>
  </w:style>
  <w:style w:type="paragraph" w:styleId="28">
    <w:name w:val="List Number 2"/>
    <w:basedOn w:val="1"/>
    <w:unhideWhenUsed/>
    <w:uiPriority w:val="99"/>
    <w:pPr>
      <w:tabs>
        <w:tab w:val="left" w:pos="360"/>
      </w:tabs>
      <w:contextualSpacing/>
    </w:pPr>
  </w:style>
  <w:style w:type="paragraph" w:styleId="29">
    <w:name w:val="List"/>
    <w:basedOn w:val="1"/>
    <w:unhideWhenUsed/>
    <w:uiPriority w:val="99"/>
    <w:pPr>
      <w:ind w:left="360" w:hanging="360"/>
      <w:contextualSpacing/>
    </w:pPr>
  </w:style>
  <w:style w:type="paragraph" w:styleId="30">
    <w:name w:val="Body Text 3"/>
    <w:basedOn w:val="1"/>
    <w:link w:val="48"/>
    <w:unhideWhenUsed/>
    <w:uiPriority w:val="99"/>
    <w:rPr>
      <w:sz w:val="16"/>
      <w:szCs w:val="16"/>
    </w:rPr>
  </w:style>
  <w:style w:type="paragraph" w:styleId="31">
    <w:name w:val="Subtitle"/>
    <w:basedOn w:val="1"/>
    <w:next w:val="1"/>
    <w:link w:val="44"/>
    <w:qFormat/>
    <w:uiPriority w:val="11"/>
    <w:pPr>
      <w:spacing w:after="320" w:line="259" w:lineRule="auto"/>
    </w:pPr>
    <w:rPr>
      <w:rFonts w:asciiTheme="majorHAnsi" w:hAnsiTheme="majorHAnsi" w:eastAsiaTheme="majorEastAsia" w:cstheme="majorBidi"/>
      <w:iCs/>
      <w:color w:val="666B73"/>
      <w:spacing w:val="15"/>
      <w:sz w:val="26"/>
      <w:szCs w:val="24"/>
    </w:rPr>
  </w:style>
  <w:style w:type="paragraph" w:styleId="32">
    <w:name w:val="List Continue 2"/>
    <w:basedOn w:val="1"/>
    <w:unhideWhenUsed/>
    <w:uiPriority w:val="99"/>
    <w:pPr>
      <w:ind w:left="720"/>
      <w:contextualSpacing/>
    </w:pPr>
  </w:style>
  <w:style w:type="paragraph" w:styleId="33">
    <w:name w:val="List Continue 3"/>
    <w:basedOn w:val="1"/>
    <w:unhideWhenUsed/>
    <w:uiPriority w:val="99"/>
    <w:pPr>
      <w:ind w:left="1080"/>
      <w:contextualSpacing/>
    </w:pPr>
  </w:style>
  <w:style w:type="paragraph" w:styleId="34">
    <w:name w:val="List 2"/>
    <w:basedOn w:val="1"/>
    <w:unhideWhenUsed/>
    <w:uiPriority w:val="99"/>
    <w:pPr>
      <w:ind w:left="720" w:hanging="360"/>
      <w:contextualSpacing/>
    </w:pPr>
  </w:style>
  <w:style w:type="paragraph" w:styleId="35">
    <w:name w:val="List 3"/>
    <w:basedOn w:val="1"/>
    <w:unhideWhenUsed/>
    <w:uiPriority w:val="99"/>
    <w:pPr>
      <w:ind w:left="1080" w:hanging="360"/>
      <w:contextualSpacing/>
    </w:pPr>
  </w:style>
  <w:style w:type="table" w:styleId="36">
    <w:name w:val="Table Grid"/>
    <w:basedOn w:val="12"/>
    <w:uiPriority w:val="5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37">
    <w:name w:val="Верхний колонтитул Знак"/>
    <w:basedOn w:val="11"/>
    <w:link w:val="19"/>
    <w:uiPriority w:val="99"/>
  </w:style>
  <w:style w:type="character" w:customStyle="1" w:styleId="38">
    <w:name w:val="Нижний колонтитул Знак"/>
    <w:basedOn w:val="11"/>
    <w:link w:val="26"/>
    <w:uiPriority w:val="99"/>
  </w:style>
  <w:style w:type="paragraph" w:styleId="39">
    <w:name w:val="No Spacing"/>
    <w:qFormat/>
    <w:uiPriority w:val="1"/>
    <w:pPr>
      <w:spacing w:after="0" w:line="240" w:lineRule="auto"/>
    </w:pPr>
    <w:rPr>
      <w:rFonts w:asciiTheme="minorHAnsi" w:hAnsiTheme="minorHAnsi" w:eastAsiaTheme="minorEastAsia" w:cstheme="minorBidi"/>
      <w:sz w:val="22"/>
      <w:szCs w:val="22"/>
      <w:lang w:val="en-US" w:eastAsia="en-US" w:bidi="ar-SA"/>
    </w:rPr>
  </w:style>
  <w:style w:type="character" w:customStyle="1" w:styleId="40">
    <w:name w:val="Заголовок 1 Знак"/>
    <w:basedOn w:val="11"/>
    <w:link w:val="2"/>
    <w:uiPriority w:val="9"/>
    <w:rPr>
      <w:rFonts w:asciiTheme="majorHAnsi" w:hAnsiTheme="majorHAnsi" w:eastAsiaTheme="majorEastAsia" w:cstheme="majorBidi"/>
      <w:b/>
      <w:bCs/>
      <w:color w:val="376092" w:themeColor="accent1" w:themeShade="BF"/>
      <w:sz w:val="28"/>
      <w:szCs w:val="28"/>
    </w:rPr>
  </w:style>
  <w:style w:type="character" w:customStyle="1" w:styleId="41">
    <w:name w:val="Заголовок 2 Знак"/>
    <w:basedOn w:val="11"/>
    <w:link w:val="3"/>
    <w:uiPriority w:val="9"/>
    <w:rPr>
      <w:rFonts w:asciiTheme="majorHAnsi" w:hAnsiTheme="majorHAnsi" w:eastAsiaTheme="majorEastAsia" w:cstheme="majorBidi"/>
      <w:b/>
      <w:bCs/>
      <w:color w:val="4F81BD" w:themeColor="accent1"/>
      <w:sz w:val="26"/>
      <w:szCs w:val="26"/>
      <w14:textFill>
        <w14:solidFill>
          <w14:schemeClr w14:val="accent1"/>
        </w14:solidFill>
      </w14:textFill>
    </w:rPr>
  </w:style>
  <w:style w:type="character" w:customStyle="1" w:styleId="42">
    <w:name w:val="Заголовок 3 Знак"/>
    <w:basedOn w:val="11"/>
    <w:link w:val="4"/>
    <w:uiPriority w:val="9"/>
    <w:rPr>
      <w:rFonts w:asciiTheme="majorHAnsi" w:hAnsiTheme="majorHAnsi" w:eastAsiaTheme="majorEastAsia" w:cstheme="majorBidi"/>
      <w:b/>
      <w:bCs/>
      <w:color w:val="4F81BD" w:themeColor="accent1"/>
      <w14:textFill>
        <w14:solidFill>
          <w14:schemeClr w14:val="accent1"/>
        </w14:solidFill>
      </w14:textFill>
    </w:rPr>
  </w:style>
  <w:style w:type="character" w:customStyle="1" w:styleId="43">
    <w:name w:val="Название Знак"/>
    <w:basedOn w:val="11"/>
    <w:link w:val="25"/>
    <w:uiPriority w:val="10"/>
    <w:rPr>
      <w:rFonts w:asciiTheme="majorHAnsi" w:hAnsiTheme="majorHAnsi" w:eastAsiaTheme="majorEastAsia" w:cstheme="majorBidi"/>
      <w:color w:val="17375E" w:themeColor="text2" w:themeShade="BF"/>
      <w:spacing w:val="5"/>
      <w:kern w:val="28"/>
      <w:sz w:val="52"/>
      <w:szCs w:val="52"/>
    </w:rPr>
  </w:style>
  <w:style w:type="character" w:customStyle="1" w:styleId="44">
    <w:name w:val="Подзаголовок Знак"/>
    <w:basedOn w:val="11"/>
    <w:link w:val="31"/>
    <w:uiPriority w:val="11"/>
    <w:rPr>
      <w:rFonts w:asciiTheme="majorHAnsi" w:hAnsiTheme="majorHAnsi" w:eastAsiaTheme="majorEastAsia" w:cstheme="majorBidi"/>
      <w:i/>
      <w:iCs/>
      <w:color w:val="4F81BD" w:themeColor="accent1"/>
      <w:spacing w:val="15"/>
      <w:sz w:val="24"/>
      <w:szCs w:val="24"/>
      <w14:textFill>
        <w14:solidFill>
          <w14:schemeClr w14:val="accent1"/>
        </w14:solidFill>
      </w14:textFill>
    </w:rPr>
  </w:style>
  <w:style w:type="paragraph" w:styleId="45">
    <w:name w:val="List Paragraph"/>
    <w:basedOn w:val="1"/>
    <w:qFormat/>
    <w:uiPriority w:val="34"/>
    <w:pPr>
      <w:ind w:left="720"/>
      <w:contextualSpacing/>
    </w:pPr>
  </w:style>
  <w:style w:type="character" w:customStyle="1" w:styleId="46">
    <w:name w:val="Основной текст Знак"/>
    <w:basedOn w:val="11"/>
    <w:link w:val="20"/>
    <w:uiPriority w:val="99"/>
  </w:style>
  <w:style w:type="character" w:customStyle="1" w:styleId="47">
    <w:name w:val="Основной текст 2 Знак"/>
    <w:basedOn w:val="11"/>
    <w:link w:val="16"/>
    <w:uiPriority w:val="99"/>
  </w:style>
  <w:style w:type="character" w:customStyle="1" w:styleId="48">
    <w:name w:val="Основной текст 3 Знак"/>
    <w:basedOn w:val="11"/>
    <w:link w:val="30"/>
    <w:uiPriority w:val="99"/>
    <w:rPr>
      <w:sz w:val="16"/>
      <w:szCs w:val="16"/>
    </w:rPr>
  </w:style>
  <w:style w:type="character" w:customStyle="1" w:styleId="49">
    <w:name w:val="Текст макроса Знак"/>
    <w:basedOn w:val="11"/>
    <w:link w:val="21"/>
    <w:uiPriority w:val="99"/>
    <w:rPr>
      <w:rFonts w:ascii="Courier" w:hAnsi="Courier"/>
      <w:sz w:val="20"/>
      <w:szCs w:val="20"/>
    </w:rPr>
  </w:style>
  <w:style w:type="paragraph" w:styleId="50">
    <w:name w:val="Quote"/>
    <w:basedOn w:val="1"/>
    <w:next w:val="1"/>
    <w:link w:val="51"/>
    <w:qFormat/>
    <w:uiPriority w:val="29"/>
    <w:rPr>
      <w:i/>
      <w:iCs/>
      <w:color w:val="000000" w:themeColor="text1"/>
      <w14:textFill>
        <w14:solidFill>
          <w14:schemeClr w14:val="tx1"/>
        </w14:solidFill>
      </w14:textFill>
    </w:rPr>
  </w:style>
  <w:style w:type="character" w:customStyle="1" w:styleId="51">
    <w:name w:val="Цитата 2 Знак"/>
    <w:basedOn w:val="11"/>
    <w:link w:val="50"/>
    <w:uiPriority w:val="29"/>
    <w:rPr>
      <w:i/>
      <w:iCs/>
      <w:color w:val="000000" w:themeColor="text1"/>
      <w14:textFill>
        <w14:solidFill>
          <w14:schemeClr w14:val="tx1"/>
        </w14:solidFill>
      </w14:textFill>
    </w:rPr>
  </w:style>
  <w:style w:type="character" w:customStyle="1" w:styleId="52">
    <w:name w:val="Заголовок 4 Знак"/>
    <w:basedOn w:val="11"/>
    <w:link w:val="5"/>
    <w:semiHidden/>
    <w:uiPriority w:val="9"/>
    <w:rPr>
      <w:rFonts w:asciiTheme="majorHAnsi" w:hAnsiTheme="majorHAnsi" w:eastAsiaTheme="majorEastAsia" w:cstheme="majorBidi"/>
      <w:b/>
      <w:bCs/>
      <w:i/>
      <w:iCs/>
      <w:color w:val="4F81BD" w:themeColor="accent1"/>
      <w14:textFill>
        <w14:solidFill>
          <w14:schemeClr w14:val="accent1"/>
        </w14:solidFill>
      </w14:textFill>
    </w:rPr>
  </w:style>
  <w:style w:type="character" w:customStyle="1" w:styleId="53">
    <w:name w:val="Заголовок 5 Знак"/>
    <w:basedOn w:val="11"/>
    <w:link w:val="6"/>
    <w:semiHidden/>
    <w:uiPriority w:val="9"/>
    <w:rPr>
      <w:rFonts w:asciiTheme="majorHAnsi" w:hAnsiTheme="majorHAnsi" w:eastAsiaTheme="majorEastAsia" w:cstheme="majorBidi"/>
      <w:color w:val="254061" w:themeColor="accent1" w:themeShade="80"/>
    </w:rPr>
  </w:style>
  <w:style w:type="character" w:customStyle="1" w:styleId="54">
    <w:name w:val="Заголовок 6 Знак"/>
    <w:basedOn w:val="11"/>
    <w:link w:val="7"/>
    <w:semiHidden/>
    <w:uiPriority w:val="9"/>
    <w:rPr>
      <w:rFonts w:asciiTheme="majorHAnsi" w:hAnsiTheme="majorHAnsi" w:eastAsiaTheme="majorEastAsia" w:cstheme="majorBidi"/>
      <w:i/>
      <w:iCs/>
      <w:color w:val="254061" w:themeColor="accent1" w:themeShade="80"/>
    </w:rPr>
  </w:style>
  <w:style w:type="character" w:customStyle="1" w:styleId="55">
    <w:name w:val="Заголовок 7 Знак"/>
    <w:basedOn w:val="11"/>
    <w:link w:val="8"/>
    <w:semiHidden/>
    <w:uiPriority w:val="9"/>
    <w:rPr>
      <w:rFonts w:asciiTheme="majorHAnsi" w:hAnsiTheme="majorHAnsi" w:eastAsiaTheme="majorEastAsia" w:cstheme="majorBidi"/>
      <w:i/>
      <w:iCs/>
      <w:color w:val="404040" w:themeColor="text1" w:themeTint="BF"/>
      <w14:textFill>
        <w14:solidFill>
          <w14:schemeClr w14:val="tx1">
            <w14:lumMod w14:val="75000"/>
            <w14:lumOff w14:val="25000"/>
          </w14:schemeClr>
        </w14:solidFill>
      </w14:textFill>
    </w:rPr>
  </w:style>
  <w:style w:type="character" w:customStyle="1" w:styleId="56">
    <w:name w:val="Заголовок 8 Знак"/>
    <w:basedOn w:val="11"/>
    <w:link w:val="9"/>
    <w:semiHidden/>
    <w:uiPriority w:val="9"/>
    <w:rPr>
      <w:rFonts w:asciiTheme="majorHAnsi" w:hAnsiTheme="majorHAnsi" w:eastAsiaTheme="majorEastAsia" w:cstheme="majorBidi"/>
      <w:color w:val="4F81BD" w:themeColor="accent1"/>
      <w:sz w:val="20"/>
      <w:szCs w:val="20"/>
      <w14:textFill>
        <w14:solidFill>
          <w14:schemeClr w14:val="accent1"/>
        </w14:solidFill>
      </w14:textFill>
    </w:rPr>
  </w:style>
  <w:style w:type="character" w:customStyle="1" w:styleId="57">
    <w:name w:val="Заголовок 9 Знак"/>
    <w:basedOn w:val="11"/>
    <w:link w:val="10"/>
    <w:semiHidden/>
    <w:uiPriority w:val="9"/>
    <w:rPr>
      <w:rFonts w:asciiTheme="majorHAnsi" w:hAnsiTheme="majorHAnsi" w:eastAsiaTheme="majorEastAsia" w:cstheme="majorBidi"/>
      <w:i/>
      <w:iCs/>
      <w:color w:val="404040" w:themeColor="text1" w:themeTint="BF"/>
      <w:sz w:val="20"/>
      <w:szCs w:val="20"/>
      <w14:textFill>
        <w14:solidFill>
          <w14:schemeClr w14:val="tx1">
            <w14:lumMod w14:val="75000"/>
            <w14:lumOff w14:val="25000"/>
          </w14:schemeClr>
        </w14:solidFill>
      </w14:textFill>
    </w:rPr>
  </w:style>
  <w:style w:type="paragraph" w:styleId="58">
    <w:name w:val="Intense Quote"/>
    <w:basedOn w:val="1"/>
    <w:next w:val="1"/>
    <w:link w:val="59"/>
    <w:qFormat/>
    <w:uiPriority w:val="30"/>
    <w:pPr>
      <w:pBdr>
        <w:bottom w:val="single" w:color="4F81BD" w:themeColor="accent1" w:sz="4" w:space="4"/>
      </w:pBdr>
      <w:spacing w:before="200" w:after="280"/>
      <w:ind w:left="936" w:right="936"/>
    </w:pPr>
    <w:rPr>
      <w:b/>
      <w:bCs/>
      <w:i/>
      <w:iCs/>
      <w:color w:val="4F81BD" w:themeColor="accent1"/>
      <w14:textFill>
        <w14:solidFill>
          <w14:schemeClr w14:val="accent1"/>
        </w14:solidFill>
      </w14:textFill>
    </w:rPr>
  </w:style>
  <w:style w:type="character" w:customStyle="1" w:styleId="59">
    <w:name w:val="Выделенная цитата Знак"/>
    <w:basedOn w:val="11"/>
    <w:link w:val="58"/>
    <w:uiPriority w:val="30"/>
    <w:rPr>
      <w:b/>
      <w:bCs/>
      <w:i/>
      <w:iCs/>
      <w:color w:val="4F81BD" w:themeColor="accent1"/>
      <w14:textFill>
        <w14:solidFill>
          <w14:schemeClr w14:val="accent1"/>
        </w14:solidFill>
      </w14:textFill>
    </w:rPr>
  </w:style>
  <w:style w:type="character" w:customStyle="1" w:styleId="60">
    <w:name w:val="Subtle Emphasis"/>
    <w:basedOn w:val="11"/>
    <w:qFormat/>
    <w:uiPriority w:val="19"/>
    <w:rPr>
      <w:i/>
      <w:iCs/>
      <w:color w:val="808080" w:themeColor="text1" w:themeTint="80"/>
      <w14:textFill>
        <w14:solidFill>
          <w14:schemeClr w14:val="tx1">
            <w14:lumMod w14:val="50000"/>
            <w14:lumOff w14:val="50000"/>
          </w14:schemeClr>
        </w14:solidFill>
      </w14:textFill>
    </w:rPr>
  </w:style>
  <w:style w:type="character" w:customStyle="1" w:styleId="61">
    <w:name w:val="Intense Emphasis"/>
    <w:basedOn w:val="11"/>
    <w:qFormat/>
    <w:uiPriority w:val="21"/>
    <w:rPr>
      <w:b/>
      <w:bCs/>
      <w:i/>
      <w:iCs/>
      <w:color w:val="4F81BD" w:themeColor="accent1"/>
      <w14:textFill>
        <w14:solidFill>
          <w14:schemeClr w14:val="accent1"/>
        </w14:solidFill>
      </w14:textFill>
    </w:rPr>
  </w:style>
  <w:style w:type="character" w:customStyle="1" w:styleId="62">
    <w:name w:val="Subtle Reference"/>
    <w:basedOn w:val="11"/>
    <w:qFormat/>
    <w:uiPriority w:val="31"/>
    <w:rPr>
      <w:smallCaps/>
      <w:color w:val="C0504D" w:themeColor="accent2"/>
      <w:u w:val="single"/>
      <w14:textFill>
        <w14:solidFill>
          <w14:schemeClr w14:val="accent2"/>
        </w14:solidFill>
      </w14:textFill>
    </w:rPr>
  </w:style>
  <w:style w:type="character" w:customStyle="1" w:styleId="63">
    <w:name w:val="Intense Reference"/>
    <w:basedOn w:val="11"/>
    <w:qFormat/>
    <w:uiPriority w:val="32"/>
    <w:rPr>
      <w:b/>
      <w:bCs/>
      <w:smallCaps/>
      <w:color w:val="C0504D" w:themeColor="accent2"/>
      <w:spacing w:val="5"/>
      <w:u w:val="single"/>
      <w14:textFill>
        <w14:solidFill>
          <w14:schemeClr w14:val="accent2"/>
        </w14:solidFill>
      </w14:textFill>
    </w:rPr>
  </w:style>
  <w:style w:type="character" w:customStyle="1" w:styleId="64">
    <w:name w:val="Book Title"/>
    <w:basedOn w:val="11"/>
    <w:qFormat/>
    <w:uiPriority w:val="33"/>
    <w:rPr>
      <w:b/>
      <w:bCs/>
      <w:smallCaps/>
      <w:spacing w:val="5"/>
    </w:rPr>
  </w:style>
  <w:style w:type="paragraph" w:customStyle="1" w:styleId="65">
    <w:name w:val="TOC Heading"/>
    <w:basedOn w:val="2"/>
    <w:next w:val="1"/>
    <w:semiHidden/>
    <w:unhideWhenUsed/>
    <w:qFormat/>
    <w:uiPriority w:val="39"/>
    <w:pPr>
      <w:outlineLvl w:val="9"/>
    </w:pPr>
  </w:style>
  <w:style w:type="table" w:styleId="66">
    <w:name w:val="Light Shading"/>
    <w:basedOn w:val="12"/>
    <w:uiPriority w:val="60"/>
    <w:pPr>
      <w:spacing w:after="0" w:line="240" w:lineRule="auto"/>
    </w:pPr>
    <w:rPr>
      <w:color w:val="000000" w:themeColor="text1" w:themeShade="BF"/>
    </w:rPr>
    <w:tblPr>
      <w:tblBorders>
        <w:top w:val="single" w:color="000000" w:themeColor="text1" w:sz="8" w:space="0"/>
        <w:bottom w:val="single" w:color="000000" w:themeColor="text1" w:sz="8" w:space="0"/>
      </w:tblBorders>
    </w:tblPr>
    <w:tblStylePr w:type="firstRow">
      <w:pPr>
        <w:spacing w:before="0" w:after="0" w:line="240" w:lineRule="auto"/>
      </w:pPr>
      <w:rPr>
        <w:b/>
        <w:bCs/>
      </w:r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cPr>
        <w:tcBorders>
          <w:left w:val="nil"/>
          <w:right w:val="nil"/>
          <w:insideH w:val="nil"/>
          <w:insideV w:val="nil"/>
        </w:tcBorders>
        <w:shd w:val="clear" w:color="auto" w:fill="BFBFBF" w:themeFill="text1" w:themeFillTint="3F"/>
      </w:tcPr>
    </w:tblStylePr>
    <w:tblStylePr w:type="band1Horz">
      <w:tcPr>
        <w:tcBorders>
          <w:left w:val="nil"/>
          <w:right w:val="nil"/>
          <w:insideH w:val="nil"/>
          <w:insideV w:val="nil"/>
        </w:tcBorders>
        <w:shd w:val="clear" w:color="auto" w:fill="BFBFBF" w:themeFill="text1" w:themeFillTint="3F"/>
      </w:tcPr>
    </w:tblStylePr>
  </w:style>
  <w:style w:type="table" w:styleId="67">
    <w:name w:val="Light Shading Accent 1"/>
    <w:basedOn w:val="12"/>
    <w:uiPriority w:val="60"/>
    <w:pPr>
      <w:spacing w:after="0" w:line="240" w:lineRule="auto"/>
    </w:pPr>
    <w:rPr>
      <w:color w:val="376092" w:themeColor="accent1" w:themeShade="BF"/>
    </w:rPr>
    <w:tblPr>
      <w:tblBorders>
        <w:top w:val="single" w:color="4F81BD" w:themeColor="accent1" w:sz="8" w:space="0"/>
        <w:bottom w:val="single" w:color="4F81BD" w:themeColor="accent1" w:sz="8" w:space="0"/>
      </w:tblBorders>
    </w:tblPr>
    <w:tblStylePr w:type="firstRow">
      <w:pPr>
        <w:spacing w:before="0" w:after="0" w:line="240" w:lineRule="auto"/>
      </w:pPr>
      <w:rPr>
        <w:b/>
        <w:bCs/>
      </w:r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rPr>
      <w:tcPr>
        <w:tcBorders>
          <w:top w:val="single" w:color="4F81BD" w:themeColor="accent1" w:sz="8" w:space="0"/>
          <w:left w:val="nil"/>
          <w:bottom w:val="single" w:color="4F81BD" w:themeColor="accent1" w:sz="8" w:space="0"/>
          <w:right w:val="nil"/>
          <w:insideH w:val="nil"/>
          <w:insideV w:val="nil"/>
        </w:tcBorders>
      </w:tcPr>
    </w:tblStylePr>
    <w:tblStylePr w:type="firstCol">
      <w:rPr>
        <w:b/>
        <w:bCs/>
      </w:rPr>
    </w:tblStylePr>
    <w:tblStylePr w:type="lastCol">
      <w:rPr>
        <w:b/>
        <w:bCs/>
      </w:rPr>
    </w:tblStylePr>
    <w:tblStylePr w:type="band1Vert">
      <w:tcPr>
        <w:tcBorders>
          <w:left w:val="nil"/>
          <w:right w:val="nil"/>
          <w:insideH w:val="nil"/>
          <w:insideV w:val="nil"/>
        </w:tcBorders>
        <w:shd w:val="clear" w:color="auto" w:fill="D3DFEE" w:themeFill="accent1" w:themeFillTint="3F"/>
      </w:tcPr>
    </w:tblStylePr>
    <w:tblStylePr w:type="band1Horz">
      <w:tcPr>
        <w:tcBorders>
          <w:left w:val="nil"/>
          <w:right w:val="nil"/>
          <w:insideH w:val="nil"/>
          <w:insideV w:val="nil"/>
        </w:tcBorders>
        <w:shd w:val="clear" w:color="auto" w:fill="D3DFEE" w:themeFill="accent1" w:themeFillTint="3F"/>
      </w:tcPr>
    </w:tblStylePr>
  </w:style>
  <w:style w:type="table" w:styleId="68">
    <w:name w:val="Light Shading Accent 2"/>
    <w:basedOn w:val="12"/>
    <w:uiPriority w:val="60"/>
    <w:pPr>
      <w:spacing w:after="0" w:line="240" w:lineRule="auto"/>
    </w:pPr>
    <w:rPr>
      <w:color w:val="953735" w:themeColor="accent2" w:themeShade="BF"/>
    </w:rPr>
    <w:tblPr>
      <w:tblBorders>
        <w:top w:val="single" w:color="C0504D" w:themeColor="accent2" w:sz="8" w:space="0"/>
        <w:bottom w:val="single" w:color="C0504D" w:themeColor="accent2" w:sz="8" w:space="0"/>
      </w:tblBorders>
    </w:tblPr>
    <w:tblStylePr w:type="firstRow">
      <w:pPr>
        <w:spacing w:before="0" w:after="0" w:line="240" w:lineRule="auto"/>
      </w:pPr>
      <w:rPr>
        <w:b/>
        <w:bCs/>
      </w:rPr>
      <w:tcPr>
        <w:tcBorders>
          <w:top w:val="single" w:color="C0504D" w:themeColor="accent2" w:sz="8" w:space="0"/>
          <w:left w:val="nil"/>
          <w:bottom w:val="single" w:color="C0504D" w:themeColor="accent2" w:sz="8" w:space="0"/>
          <w:right w:val="nil"/>
          <w:insideH w:val="nil"/>
          <w:insideV w:val="nil"/>
        </w:tcBorders>
      </w:tcPr>
    </w:tblStylePr>
    <w:tblStylePr w:type="lastRow">
      <w:pPr>
        <w:spacing w:before="0" w:after="0" w:line="240" w:lineRule="auto"/>
      </w:pPr>
      <w:rPr>
        <w:b/>
        <w:bCs/>
      </w:rPr>
      <w:tcPr>
        <w:tcBorders>
          <w:top w:val="single" w:color="C0504D" w:themeColor="accent2" w:sz="8" w:space="0"/>
          <w:left w:val="nil"/>
          <w:bottom w:val="single" w:color="C0504D" w:themeColor="accent2" w:sz="8" w:space="0"/>
          <w:right w:val="nil"/>
          <w:insideH w:val="nil"/>
          <w:insideV w:val="nil"/>
        </w:tcBorders>
      </w:tcPr>
    </w:tblStylePr>
    <w:tblStylePr w:type="firstCol">
      <w:rPr>
        <w:b/>
        <w:bCs/>
      </w:rPr>
    </w:tblStylePr>
    <w:tblStylePr w:type="lastCol">
      <w:rPr>
        <w:b/>
        <w:bCs/>
      </w:rPr>
    </w:tblStylePr>
    <w:tblStylePr w:type="band1Vert">
      <w:tcPr>
        <w:tcBorders>
          <w:left w:val="nil"/>
          <w:right w:val="nil"/>
          <w:insideH w:val="nil"/>
          <w:insideV w:val="nil"/>
        </w:tcBorders>
        <w:shd w:val="clear" w:color="auto" w:fill="EFD3D3" w:themeFill="accent2" w:themeFillTint="3F"/>
      </w:tcPr>
    </w:tblStylePr>
    <w:tblStylePr w:type="band1Horz">
      <w:tcPr>
        <w:tcBorders>
          <w:left w:val="nil"/>
          <w:right w:val="nil"/>
          <w:insideH w:val="nil"/>
          <w:insideV w:val="nil"/>
        </w:tcBorders>
        <w:shd w:val="clear" w:color="auto" w:fill="EFD3D3" w:themeFill="accent2" w:themeFillTint="3F"/>
      </w:tcPr>
    </w:tblStylePr>
  </w:style>
  <w:style w:type="table" w:styleId="69">
    <w:name w:val="Light Shading Accent 3"/>
    <w:basedOn w:val="12"/>
    <w:uiPriority w:val="60"/>
    <w:pPr>
      <w:spacing w:after="0" w:line="240" w:lineRule="auto"/>
    </w:pPr>
    <w:rPr>
      <w:color w:val="77933C" w:themeColor="accent3" w:themeShade="BF"/>
    </w:rPr>
    <w:tblPr>
      <w:tblBorders>
        <w:top w:val="single" w:color="9BBB59" w:themeColor="accent3" w:sz="8" w:space="0"/>
        <w:bottom w:val="single" w:color="9BBB59" w:themeColor="accent3" w:sz="8" w:space="0"/>
      </w:tblBorders>
    </w:tblPr>
    <w:tblStylePr w:type="firstRow">
      <w:pPr>
        <w:spacing w:before="0" w:after="0" w:line="240" w:lineRule="auto"/>
      </w:pPr>
      <w:rPr>
        <w:b/>
        <w:bCs/>
      </w:rPr>
      <w:tcPr>
        <w:tcBorders>
          <w:top w:val="single" w:color="9BBB59" w:themeColor="accent3" w:sz="8" w:space="0"/>
          <w:left w:val="nil"/>
          <w:bottom w:val="single" w:color="9BBB59" w:themeColor="accent3" w:sz="8" w:space="0"/>
          <w:right w:val="nil"/>
          <w:insideH w:val="nil"/>
          <w:insideV w:val="nil"/>
        </w:tcBorders>
      </w:tcPr>
    </w:tblStylePr>
    <w:tblStylePr w:type="lastRow">
      <w:pPr>
        <w:spacing w:before="0" w:after="0" w:line="240" w:lineRule="auto"/>
      </w:pPr>
      <w:rPr>
        <w:b/>
        <w:bCs/>
      </w:rPr>
      <w:tcPr>
        <w:tcBorders>
          <w:top w:val="single" w:color="9BBB59" w:themeColor="accent3" w:sz="8" w:space="0"/>
          <w:left w:val="nil"/>
          <w:bottom w:val="single" w:color="9BBB59" w:themeColor="accent3" w:sz="8" w:space="0"/>
          <w:right w:val="nil"/>
          <w:insideH w:val="nil"/>
          <w:insideV w:val="nil"/>
        </w:tcBorders>
      </w:tcPr>
    </w:tblStylePr>
    <w:tblStylePr w:type="firstCol">
      <w:rPr>
        <w:b/>
        <w:bCs/>
      </w:rPr>
    </w:tblStylePr>
    <w:tblStylePr w:type="lastCol">
      <w:rPr>
        <w:b/>
        <w:bCs/>
      </w:rPr>
    </w:tblStylePr>
    <w:tblStylePr w:type="band1Vert">
      <w:tcPr>
        <w:tcBorders>
          <w:left w:val="nil"/>
          <w:right w:val="nil"/>
          <w:insideH w:val="nil"/>
          <w:insideV w:val="nil"/>
        </w:tcBorders>
        <w:shd w:val="clear" w:color="auto" w:fill="E6EED5" w:themeFill="accent3" w:themeFillTint="3F"/>
      </w:tcPr>
    </w:tblStylePr>
    <w:tblStylePr w:type="band1Horz">
      <w:tcPr>
        <w:tcBorders>
          <w:left w:val="nil"/>
          <w:right w:val="nil"/>
          <w:insideH w:val="nil"/>
          <w:insideV w:val="nil"/>
        </w:tcBorders>
        <w:shd w:val="clear" w:color="auto" w:fill="E6EED5" w:themeFill="accent3" w:themeFillTint="3F"/>
      </w:tcPr>
    </w:tblStylePr>
  </w:style>
  <w:style w:type="table" w:styleId="70">
    <w:name w:val="Light Shading Accent 4"/>
    <w:basedOn w:val="12"/>
    <w:uiPriority w:val="60"/>
    <w:pPr>
      <w:spacing w:after="0" w:line="240" w:lineRule="auto"/>
    </w:pPr>
    <w:rPr>
      <w:color w:val="604A7B" w:themeColor="accent4" w:themeShade="BF"/>
    </w:rPr>
    <w:tblPr>
      <w:tblBorders>
        <w:top w:val="single" w:color="8064A2" w:themeColor="accent4" w:sz="8" w:space="0"/>
        <w:bottom w:val="single" w:color="8064A2" w:themeColor="accent4" w:sz="8" w:space="0"/>
      </w:tblBorders>
    </w:tblPr>
    <w:tblStylePr w:type="firstRow">
      <w:pPr>
        <w:spacing w:before="0" w:after="0" w:line="240" w:lineRule="auto"/>
      </w:pPr>
      <w:rPr>
        <w:b/>
        <w:bCs/>
      </w:rPr>
      <w:tcPr>
        <w:tcBorders>
          <w:top w:val="single" w:color="8064A2" w:themeColor="accent4" w:sz="8" w:space="0"/>
          <w:left w:val="nil"/>
          <w:bottom w:val="single" w:color="8064A2" w:themeColor="accent4" w:sz="8" w:space="0"/>
          <w:right w:val="nil"/>
          <w:insideH w:val="nil"/>
          <w:insideV w:val="nil"/>
        </w:tcBorders>
      </w:tcPr>
    </w:tblStylePr>
    <w:tblStylePr w:type="lastRow">
      <w:pPr>
        <w:spacing w:before="0" w:after="0" w:line="240" w:lineRule="auto"/>
      </w:pPr>
      <w:rPr>
        <w:b/>
        <w:bCs/>
      </w:rPr>
      <w:tcPr>
        <w:tcBorders>
          <w:top w:val="single" w:color="8064A2" w:themeColor="accent4" w:sz="8" w:space="0"/>
          <w:left w:val="nil"/>
          <w:bottom w:val="single" w:color="8064A2" w:themeColor="accent4" w:sz="8" w:space="0"/>
          <w:right w:val="nil"/>
          <w:insideH w:val="nil"/>
          <w:insideV w:val="nil"/>
        </w:tcBorders>
      </w:tcPr>
    </w:tblStylePr>
    <w:tblStylePr w:type="firstCol">
      <w:rPr>
        <w:b/>
        <w:bCs/>
      </w:rPr>
    </w:tblStylePr>
    <w:tblStylePr w:type="lastCol">
      <w:rPr>
        <w:b/>
        <w:bCs/>
      </w:rPr>
    </w:tblStylePr>
    <w:tblStylePr w:type="band1Vert">
      <w:tcPr>
        <w:tcBorders>
          <w:left w:val="nil"/>
          <w:right w:val="nil"/>
          <w:insideH w:val="nil"/>
          <w:insideV w:val="nil"/>
        </w:tcBorders>
        <w:shd w:val="clear" w:color="auto" w:fill="DFD8E8" w:themeFill="accent4" w:themeFillTint="3F"/>
      </w:tcPr>
    </w:tblStylePr>
    <w:tblStylePr w:type="band1Horz">
      <w:tcPr>
        <w:tcBorders>
          <w:left w:val="nil"/>
          <w:right w:val="nil"/>
          <w:insideH w:val="nil"/>
          <w:insideV w:val="nil"/>
        </w:tcBorders>
        <w:shd w:val="clear" w:color="auto" w:fill="DFD8E8" w:themeFill="accent4" w:themeFillTint="3F"/>
      </w:tcPr>
    </w:tblStylePr>
  </w:style>
  <w:style w:type="table" w:styleId="71">
    <w:name w:val="Light Shading Accent 5"/>
    <w:basedOn w:val="12"/>
    <w:uiPriority w:val="60"/>
    <w:pPr>
      <w:spacing w:after="0" w:line="240" w:lineRule="auto"/>
    </w:pPr>
    <w:rPr>
      <w:color w:val="31859C" w:themeColor="accent5" w:themeShade="BF"/>
    </w:rPr>
    <w:tblPr>
      <w:tblBorders>
        <w:top w:val="single" w:color="4BACC6" w:themeColor="accent5" w:sz="8" w:space="0"/>
        <w:bottom w:val="single" w:color="4BACC6" w:themeColor="accent5" w:sz="8" w:space="0"/>
      </w:tblBorders>
    </w:tblPr>
    <w:tblStylePr w:type="firstRow">
      <w:pPr>
        <w:spacing w:before="0" w:after="0" w:line="240" w:lineRule="auto"/>
      </w:pPr>
      <w:rPr>
        <w:b/>
        <w:bCs/>
      </w:rPr>
      <w:tcPr>
        <w:tcBorders>
          <w:top w:val="single" w:color="4BACC6" w:themeColor="accent5" w:sz="8" w:space="0"/>
          <w:left w:val="nil"/>
          <w:bottom w:val="single" w:color="4BACC6" w:themeColor="accent5" w:sz="8" w:space="0"/>
          <w:right w:val="nil"/>
          <w:insideH w:val="nil"/>
          <w:insideV w:val="nil"/>
        </w:tcBorders>
      </w:tcPr>
    </w:tblStylePr>
    <w:tblStylePr w:type="lastRow">
      <w:pPr>
        <w:spacing w:before="0" w:after="0" w:line="240" w:lineRule="auto"/>
      </w:pPr>
      <w:rPr>
        <w:b/>
        <w:bCs/>
      </w:rPr>
      <w:tcPr>
        <w:tcBorders>
          <w:top w:val="single" w:color="4BACC6" w:themeColor="accent5" w:sz="8" w:space="0"/>
          <w:left w:val="nil"/>
          <w:bottom w:val="single" w:color="4BACC6" w:themeColor="accent5" w:sz="8" w:space="0"/>
          <w:right w:val="nil"/>
          <w:insideH w:val="nil"/>
          <w:insideV w:val="nil"/>
        </w:tcBorders>
      </w:tcPr>
    </w:tblStylePr>
    <w:tblStylePr w:type="firstCol">
      <w:rPr>
        <w:b/>
        <w:bCs/>
      </w:rPr>
    </w:tblStylePr>
    <w:tblStylePr w:type="lastCol">
      <w:rPr>
        <w:b/>
        <w:bCs/>
      </w:rPr>
    </w:tblStylePr>
    <w:tblStylePr w:type="band1Vert">
      <w:tcPr>
        <w:tcBorders>
          <w:left w:val="nil"/>
          <w:right w:val="nil"/>
          <w:insideH w:val="nil"/>
          <w:insideV w:val="nil"/>
        </w:tcBorders>
        <w:shd w:val="clear" w:color="auto" w:fill="D2EAF0" w:themeFill="accent5" w:themeFillTint="3F"/>
      </w:tcPr>
    </w:tblStylePr>
    <w:tblStylePr w:type="band1Horz">
      <w:tcPr>
        <w:tcBorders>
          <w:left w:val="nil"/>
          <w:right w:val="nil"/>
          <w:insideH w:val="nil"/>
          <w:insideV w:val="nil"/>
        </w:tcBorders>
        <w:shd w:val="clear" w:color="auto" w:fill="D2EAF0" w:themeFill="accent5" w:themeFillTint="3F"/>
      </w:tcPr>
    </w:tblStylePr>
  </w:style>
  <w:style w:type="table" w:styleId="72">
    <w:name w:val="Light Shading Accent 6"/>
    <w:basedOn w:val="12"/>
    <w:uiPriority w:val="60"/>
    <w:pPr>
      <w:spacing w:after="0" w:line="240" w:lineRule="auto"/>
    </w:pPr>
    <w:rPr>
      <w:color w:val="E46C0A" w:themeColor="accent6" w:themeShade="BF"/>
    </w:rPr>
    <w:tblPr>
      <w:tblBorders>
        <w:top w:val="single" w:color="F79646" w:themeColor="accent6" w:sz="8" w:space="0"/>
        <w:bottom w:val="single" w:color="F79646" w:themeColor="accent6" w:sz="8" w:space="0"/>
      </w:tblBorders>
    </w:tblPr>
    <w:tblStylePr w:type="firstRow">
      <w:pPr>
        <w:spacing w:before="0" w:after="0" w:line="240" w:lineRule="auto"/>
      </w:pPr>
      <w:rPr>
        <w:b/>
        <w:bCs/>
      </w:rPr>
      <w:tcPr>
        <w:tcBorders>
          <w:top w:val="single" w:color="F79646" w:themeColor="accent6" w:sz="8" w:space="0"/>
          <w:left w:val="nil"/>
          <w:bottom w:val="single" w:color="F79646" w:themeColor="accent6" w:sz="8" w:space="0"/>
          <w:right w:val="nil"/>
          <w:insideH w:val="nil"/>
          <w:insideV w:val="nil"/>
        </w:tcBorders>
      </w:tcPr>
    </w:tblStylePr>
    <w:tblStylePr w:type="lastRow">
      <w:pPr>
        <w:spacing w:before="0" w:after="0" w:line="240" w:lineRule="auto"/>
      </w:pPr>
      <w:rPr>
        <w:b/>
        <w:bCs/>
      </w:rPr>
      <w:tcPr>
        <w:tcBorders>
          <w:top w:val="single" w:color="F79646" w:themeColor="accent6" w:sz="8" w:space="0"/>
          <w:left w:val="nil"/>
          <w:bottom w:val="single" w:color="F79646" w:themeColor="accent6" w:sz="8" w:space="0"/>
          <w:right w:val="nil"/>
          <w:insideH w:val="nil"/>
          <w:insideV w:val="nil"/>
        </w:tcBorders>
      </w:tcPr>
    </w:tblStylePr>
    <w:tblStylePr w:type="firstCol">
      <w:rPr>
        <w:b/>
        <w:bCs/>
      </w:rPr>
    </w:tblStylePr>
    <w:tblStylePr w:type="lastCol">
      <w:rPr>
        <w:b/>
        <w:bCs/>
      </w:rPr>
    </w:tblStylePr>
    <w:tblStylePr w:type="band1Vert">
      <w:tcPr>
        <w:tcBorders>
          <w:left w:val="nil"/>
          <w:right w:val="nil"/>
          <w:insideH w:val="nil"/>
          <w:insideV w:val="nil"/>
        </w:tcBorders>
        <w:shd w:val="clear" w:color="auto" w:fill="FDE5D1" w:themeFill="accent6" w:themeFillTint="3F"/>
      </w:tcPr>
    </w:tblStylePr>
    <w:tblStylePr w:type="band1Horz">
      <w:tcPr>
        <w:tcBorders>
          <w:left w:val="nil"/>
          <w:right w:val="nil"/>
          <w:insideH w:val="nil"/>
          <w:insideV w:val="nil"/>
        </w:tcBorders>
        <w:shd w:val="clear" w:color="auto" w:fill="FDE5D1" w:themeFill="accent6" w:themeFillTint="3F"/>
      </w:tcPr>
    </w:tblStylePr>
  </w:style>
  <w:style w:type="table" w:styleId="73">
    <w:name w:val="Light List"/>
    <w:basedOn w:val="12"/>
    <w:uiPriority w:val="61"/>
    <w:pPr>
      <w:spacing w:after="0" w:line="240" w:lineRule="auto"/>
    </w:pPr>
    <w:tblPr>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pPr>
        <w:spacing w:before="0" w:after="0" w:line="240" w:lineRule="auto"/>
      </w:pPr>
      <w:rPr>
        <w:b/>
        <w:bCs/>
        <w:color w:val="FFFFFF" w:themeColor="background1"/>
        <w14:textFill>
          <w14:solidFill>
            <w14:schemeClr w14:val="bg1"/>
          </w14:solidFill>
        </w14:textFill>
      </w:rPr>
      <w:tcPr>
        <w:shd w:val="clear" w:color="auto" w:fill="000000" w:themeFill="text1"/>
      </w:tcPr>
    </w:tblStylePr>
    <w:tblStylePr w:type="lastRow">
      <w:pPr>
        <w:spacing w:before="0" w:after="0" w:line="240" w:lineRule="auto"/>
      </w:pPr>
      <w:rPr>
        <w:b/>
        <w:bCs/>
      </w:r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74">
    <w:name w:val="Light List Accent 1"/>
    <w:basedOn w:val="12"/>
    <w:uiPriority w:val="61"/>
    <w:pPr>
      <w:spacing w:after="0" w:line="240" w:lineRule="auto"/>
    </w:pPr>
    <w:tblPr>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pPr>
        <w:spacing w:before="0" w:after="0" w:line="240" w:lineRule="auto"/>
      </w:pPr>
      <w:rPr>
        <w:b/>
        <w:bCs/>
        <w:color w:val="FFFFFF" w:themeColor="background1"/>
        <w14:textFill>
          <w14:solidFill>
            <w14:schemeClr w14:val="bg1"/>
          </w14:solidFill>
        </w14:textFill>
      </w:rPr>
      <w:tcPr>
        <w:shd w:val="clear" w:color="auto" w:fill="4F81BD" w:themeFill="accent1"/>
      </w:tcPr>
    </w:tblStylePr>
    <w:tblStylePr w:type="lastRow">
      <w:pPr>
        <w:spacing w:before="0" w:after="0" w:line="240" w:lineRule="auto"/>
      </w:pPr>
      <w:rPr>
        <w:b/>
        <w:bCs/>
      </w:rPr>
      <w:tcPr>
        <w:tcBorders>
          <w:top w:val="doub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firstCol">
      <w:rPr>
        <w:b/>
        <w:bCs/>
      </w:rPr>
    </w:tblStylePr>
    <w:tblStylePr w:type="lastCol">
      <w:rPr>
        <w:b/>
        <w:bCs/>
      </w:rPr>
    </w:tblStylePr>
    <w:tblStylePr w:type="band1Vert">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Horz">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style>
  <w:style w:type="table" w:styleId="75">
    <w:name w:val="Light List Accent 2"/>
    <w:basedOn w:val="12"/>
    <w:uiPriority w:val="61"/>
    <w:pPr>
      <w:spacing w:after="0" w:line="240" w:lineRule="auto"/>
    </w:pPr>
    <w:tblPr>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pPr>
        <w:spacing w:before="0" w:after="0" w:line="240" w:lineRule="auto"/>
      </w:pPr>
      <w:rPr>
        <w:b/>
        <w:bCs/>
        <w:color w:val="FFFFFF" w:themeColor="background1"/>
        <w14:textFill>
          <w14:solidFill>
            <w14:schemeClr w14:val="bg1"/>
          </w14:solidFill>
        </w14:textFill>
      </w:rPr>
      <w:tcPr>
        <w:shd w:val="clear" w:color="auto" w:fill="C0504D" w:themeFill="accent2"/>
      </w:tcPr>
    </w:tblStylePr>
    <w:tblStylePr w:type="lastRow">
      <w:pPr>
        <w:spacing w:before="0" w:after="0" w:line="240" w:lineRule="auto"/>
      </w:pPr>
      <w:rPr>
        <w:b/>
        <w:bCs/>
      </w:rPr>
      <w:tcPr>
        <w:tcBorders>
          <w:top w:val="double" w:color="C0504D" w:themeColor="accent2" w:sz="6" w:space="0"/>
          <w:left w:val="single" w:color="C0504D" w:themeColor="accent2" w:sz="8" w:space="0"/>
          <w:bottom w:val="single" w:color="C0504D" w:themeColor="accent2" w:sz="8" w:space="0"/>
          <w:right w:val="single" w:color="C0504D" w:themeColor="accent2" w:sz="8" w:space="0"/>
        </w:tcBorders>
      </w:tcPr>
    </w:tblStylePr>
    <w:tblStylePr w:type="firstCol">
      <w:rPr>
        <w:b/>
        <w:bCs/>
      </w:rPr>
    </w:tblStylePr>
    <w:tblStylePr w:type="lastCol">
      <w:rPr>
        <w:b/>
        <w:bCs/>
      </w:rPr>
    </w:tblStylePr>
    <w:tblStylePr w:type="band1Vert">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Horz">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style>
  <w:style w:type="table" w:styleId="76">
    <w:name w:val="Light List Accent 3"/>
    <w:basedOn w:val="12"/>
    <w:uiPriority w:val="61"/>
    <w:pPr>
      <w:spacing w:after="0" w:line="240" w:lineRule="auto"/>
    </w:pPr>
    <w:tblPr>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pPr>
        <w:spacing w:before="0" w:after="0" w:line="240" w:lineRule="auto"/>
      </w:pPr>
      <w:rPr>
        <w:b/>
        <w:bCs/>
        <w:color w:val="FFFFFF" w:themeColor="background1"/>
        <w14:textFill>
          <w14:solidFill>
            <w14:schemeClr w14:val="bg1"/>
          </w14:solidFill>
        </w14:textFill>
      </w:rPr>
      <w:tcPr>
        <w:shd w:val="clear" w:color="auto" w:fill="9BBB59" w:themeFill="accent3"/>
      </w:tcPr>
    </w:tblStylePr>
    <w:tblStylePr w:type="lastRow">
      <w:pPr>
        <w:spacing w:before="0" w:after="0" w:line="240" w:lineRule="auto"/>
      </w:pPr>
      <w:rPr>
        <w:b/>
        <w:bCs/>
      </w:rPr>
      <w:tcPr>
        <w:tcBorders>
          <w:top w:val="double" w:color="9BBB59" w:themeColor="accent3" w:sz="6" w:space="0"/>
          <w:left w:val="single" w:color="9BBB59" w:themeColor="accent3" w:sz="8" w:space="0"/>
          <w:bottom w:val="single" w:color="9BBB59" w:themeColor="accent3" w:sz="8" w:space="0"/>
          <w:right w:val="single" w:color="9BBB59" w:themeColor="accent3" w:sz="8" w:space="0"/>
        </w:tcBorders>
      </w:tcPr>
    </w:tblStylePr>
    <w:tblStylePr w:type="firstCol">
      <w:rPr>
        <w:b/>
        <w:bCs/>
      </w:rPr>
    </w:tblStylePr>
    <w:tblStylePr w:type="lastCol">
      <w:rPr>
        <w:b/>
        <w:bCs/>
      </w:rPr>
    </w:tblStylePr>
    <w:tblStylePr w:type="band1Vert">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Horz">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style>
  <w:style w:type="table" w:styleId="77">
    <w:name w:val="Light List Accent 4"/>
    <w:basedOn w:val="12"/>
    <w:uiPriority w:val="61"/>
    <w:pPr>
      <w:spacing w:after="0" w:line="240" w:lineRule="auto"/>
    </w:pPr>
    <w:tblPr>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pPr>
        <w:spacing w:before="0" w:after="0" w:line="240" w:lineRule="auto"/>
      </w:pPr>
      <w:rPr>
        <w:b/>
        <w:bCs/>
        <w:color w:val="FFFFFF" w:themeColor="background1"/>
        <w14:textFill>
          <w14:solidFill>
            <w14:schemeClr w14:val="bg1"/>
          </w14:solidFill>
        </w14:textFill>
      </w:rPr>
      <w:tcPr>
        <w:shd w:val="clear" w:color="auto" w:fill="8064A2" w:themeFill="accent4"/>
      </w:tcPr>
    </w:tblStylePr>
    <w:tblStylePr w:type="lastRow">
      <w:pPr>
        <w:spacing w:before="0" w:after="0" w:line="240" w:lineRule="auto"/>
      </w:pPr>
      <w:rPr>
        <w:b/>
        <w:bCs/>
      </w:rPr>
      <w:tcPr>
        <w:tcBorders>
          <w:top w:val="double" w:color="8064A2" w:themeColor="accent4" w:sz="6" w:space="0"/>
          <w:left w:val="single" w:color="8064A2" w:themeColor="accent4" w:sz="8" w:space="0"/>
          <w:bottom w:val="single" w:color="8064A2" w:themeColor="accent4" w:sz="8" w:space="0"/>
          <w:right w:val="single" w:color="8064A2" w:themeColor="accent4" w:sz="8" w:space="0"/>
        </w:tcBorders>
      </w:tcPr>
    </w:tblStylePr>
    <w:tblStylePr w:type="firstCol">
      <w:rPr>
        <w:b/>
        <w:bCs/>
      </w:rPr>
    </w:tblStylePr>
    <w:tblStylePr w:type="lastCol">
      <w:rPr>
        <w:b/>
        <w:bCs/>
      </w:rPr>
    </w:tblStylePr>
    <w:tblStylePr w:type="band1Vert">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Horz">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style>
  <w:style w:type="table" w:styleId="78">
    <w:name w:val="Light List Accent 5"/>
    <w:basedOn w:val="12"/>
    <w:uiPriority w:val="61"/>
    <w:pPr>
      <w:spacing w:after="0" w:line="240" w:lineRule="auto"/>
    </w:pPr>
    <w:tblPr>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pPr>
        <w:spacing w:before="0" w:after="0" w:line="240" w:lineRule="auto"/>
      </w:pPr>
      <w:rPr>
        <w:b/>
        <w:bCs/>
        <w:color w:val="FFFFFF" w:themeColor="background1"/>
        <w14:textFill>
          <w14:solidFill>
            <w14:schemeClr w14:val="bg1"/>
          </w14:solidFill>
        </w14:textFill>
      </w:rPr>
      <w:tcPr>
        <w:shd w:val="clear" w:color="auto" w:fill="4BACC6" w:themeFill="accent5"/>
      </w:tcPr>
    </w:tblStylePr>
    <w:tblStylePr w:type="lastRow">
      <w:pPr>
        <w:spacing w:before="0" w:after="0" w:line="240" w:lineRule="auto"/>
      </w:pPr>
      <w:rPr>
        <w:b/>
        <w:bCs/>
      </w:rPr>
      <w:tcPr>
        <w:tcBorders>
          <w:top w:val="double" w:color="4BACC6" w:themeColor="accent5" w:sz="6" w:space="0"/>
          <w:left w:val="single" w:color="4BACC6" w:themeColor="accent5" w:sz="8" w:space="0"/>
          <w:bottom w:val="single" w:color="4BACC6" w:themeColor="accent5" w:sz="8" w:space="0"/>
          <w:right w:val="single" w:color="4BACC6" w:themeColor="accent5" w:sz="8" w:space="0"/>
        </w:tcBorders>
      </w:tcPr>
    </w:tblStylePr>
    <w:tblStylePr w:type="firstCol">
      <w:rPr>
        <w:b/>
        <w:bCs/>
      </w:rPr>
    </w:tblStylePr>
    <w:tblStylePr w:type="lastCol">
      <w:rPr>
        <w:b/>
        <w:bCs/>
      </w:rPr>
    </w:tblStylePr>
    <w:tblStylePr w:type="band1Vert">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Horz">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style>
  <w:style w:type="table" w:styleId="79">
    <w:name w:val="Light List Accent 6"/>
    <w:basedOn w:val="12"/>
    <w:uiPriority w:val="61"/>
    <w:pPr>
      <w:spacing w:after="0" w:line="240" w:lineRule="auto"/>
    </w:pPr>
    <w:tblPr>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pPr>
        <w:spacing w:before="0" w:after="0" w:line="240" w:lineRule="auto"/>
      </w:pPr>
      <w:rPr>
        <w:b/>
        <w:bCs/>
        <w:color w:val="FFFFFF" w:themeColor="background1"/>
        <w14:textFill>
          <w14:solidFill>
            <w14:schemeClr w14:val="bg1"/>
          </w14:solidFill>
        </w14:textFill>
      </w:rPr>
      <w:tcPr>
        <w:shd w:val="clear" w:color="auto" w:fill="F79646" w:themeFill="accent6"/>
      </w:tcPr>
    </w:tblStylePr>
    <w:tblStylePr w:type="lastRow">
      <w:pPr>
        <w:spacing w:before="0" w:after="0" w:line="240" w:lineRule="auto"/>
      </w:pPr>
      <w:rPr>
        <w:b/>
        <w:bCs/>
      </w:rPr>
      <w:tcPr>
        <w:tcBorders>
          <w:top w:val="double" w:color="F79646" w:themeColor="accent6" w:sz="6" w:space="0"/>
          <w:left w:val="single" w:color="F79646" w:themeColor="accent6" w:sz="8" w:space="0"/>
          <w:bottom w:val="single" w:color="F79646" w:themeColor="accent6" w:sz="8" w:space="0"/>
          <w:right w:val="single" w:color="F79646" w:themeColor="accent6" w:sz="8" w:space="0"/>
        </w:tcBorders>
      </w:tcPr>
    </w:tblStylePr>
    <w:tblStylePr w:type="firstCol">
      <w:rPr>
        <w:b/>
        <w:bCs/>
      </w:rPr>
    </w:tblStylePr>
    <w:tblStylePr w:type="lastCol">
      <w:rPr>
        <w:b/>
        <w:bCs/>
      </w:rPr>
    </w:tblStylePr>
    <w:tblStylePr w:type="band1Vert">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Horz">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style>
  <w:style w:type="table" w:styleId="80">
    <w:name w:val="Light Grid"/>
    <w:basedOn w:val="12"/>
    <w:uiPriority w:val="62"/>
    <w:pPr>
      <w:spacing w:after="0" w:line="240" w:lineRule="auto"/>
    </w:pPr>
    <w:tblPr>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blStylePr w:type="firstRow">
      <w:pPr>
        <w:spacing w:before="0" w:after="0" w:line="240" w:lineRule="auto"/>
      </w:pPr>
      <w:rPr>
        <w:rFonts w:asciiTheme="majorHAnsi" w:hAnsiTheme="majorHAnsi" w:eastAsiaTheme="majorEastAsia" w:cstheme="majorBidi"/>
        <w:b/>
        <w:bCs/>
      </w:r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BFBFBF" w:themeFill="text1" w:themeFillTint="3F"/>
      </w:tcPr>
    </w:tblStylePr>
    <w:tblStylePr w:type="band1Horz">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sz="8" w:space="0"/>
        </w:tcBorders>
        <w:shd w:val="clear" w:color="auto" w:fill="BFBFBF" w:themeFill="text1" w:themeFillTint="3F"/>
      </w:tcPr>
    </w:tblStylePr>
    <w:tblStylePr w:type="band2Horz">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sz="8" w:space="0"/>
        </w:tcBorders>
      </w:tcPr>
    </w:tblStylePr>
  </w:style>
  <w:style w:type="table" w:styleId="81">
    <w:name w:val="Light Grid Accent 1"/>
    <w:basedOn w:val="12"/>
    <w:uiPriority w:val="62"/>
    <w:pPr>
      <w:spacing w:after="0" w:line="240" w:lineRule="auto"/>
    </w:pPr>
    <w:tblPr>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blStylePr w:type="firstRow">
      <w:pPr>
        <w:spacing w:before="0" w:after="0" w:line="240" w:lineRule="auto"/>
      </w:pPr>
      <w:rPr>
        <w:rFonts w:asciiTheme="majorHAnsi" w:hAnsiTheme="majorHAnsi" w:eastAsiaTheme="majorEastAsia" w:cstheme="majorBidi"/>
        <w:b/>
        <w:bCs/>
      </w:r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sz="8" w:space="0"/>
        </w:tcBorders>
        <w:shd w:val="clear" w:color="auto" w:fill="D3DFEE" w:themeFill="accent1" w:themeFillTint="3F"/>
      </w:tcPr>
    </w:tblStylePr>
    <w:tblStylePr w:type="band2Horz">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sz="8" w:space="0"/>
        </w:tcBorders>
      </w:tcPr>
    </w:tblStylePr>
  </w:style>
  <w:style w:type="table" w:styleId="82">
    <w:name w:val="Light Grid Accent 2"/>
    <w:basedOn w:val="12"/>
    <w:uiPriority w:val="62"/>
    <w:pPr>
      <w:spacing w:after="0" w:line="240" w:lineRule="auto"/>
    </w:pPr>
    <w:tblPr>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blStylePr w:type="firstRow">
      <w:pPr>
        <w:spacing w:before="0" w:after="0" w:line="240" w:lineRule="auto"/>
      </w:pPr>
      <w:rPr>
        <w:rFonts w:asciiTheme="majorHAnsi" w:hAnsiTheme="majorHAnsi" w:eastAsiaTheme="majorEastAsia" w:cstheme="majorBidi"/>
        <w:b/>
        <w:bCs/>
      </w:rPr>
      <w:tcPr>
        <w:tcBorders>
          <w:top w:val="single" w:color="C0504D" w:themeColor="accent2" w:sz="8" w:space="0"/>
          <w:left w:val="single" w:color="C0504D" w:themeColor="accent2" w:sz="8" w:space="0"/>
          <w:bottom w:val="single" w:color="C0504D" w:themeColor="accent2" w:sz="18" w:space="0"/>
          <w:right w:val="single" w:color="C0504D" w:themeColor="accent2"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cPr>
        <w:tcBorders>
          <w:top w:val="double" w:color="C0504D" w:themeColor="accent2" w:sz="6" w:space="0"/>
          <w:left w:val="single" w:color="C0504D" w:themeColor="accent2" w:sz="8" w:space="0"/>
          <w:bottom w:val="single" w:color="C0504D" w:themeColor="accent2" w:sz="8" w:space="0"/>
          <w:right w:val="single" w:color="C0504D" w:themeColor="accent2"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Vert">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shd w:val="clear" w:color="auto" w:fill="EFD3D3" w:themeFill="accent2" w:themeFillTint="3F"/>
      </w:tcPr>
    </w:tblStylePr>
    <w:tblStylePr w:type="band1Horz">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sz="8" w:space="0"/>
        </w:tcBorders>
        <w:shd w:val="clear" w:color="auto" w:fill="EFD3D3" w:themeFill="accent2" w:themeFillTint="3F"/>
      </w:tcPr>
    </w:tblStylePr>
    <w:tblStylePr w:type="band2Horz">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sz="8" w:space="0"/>
        </w:tcBorders>
      </w:tcPr>
    </w:tblStylePr>
  </w:style>
  <w:style w:type="table" w:styleId="83">
    <w:name w:val="Light Grid Accent 3"/>
    <w:basedOn w:val="12"/>
    <w:uiPriority w:val="62"/>
    <w:pPr>
      <w:spacing w:after="0" w:line="240" w:lineRule="auto"/>
    </w:pPr>
    <w:tblPr>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blStylePr w:type="firstRow">
      <w:pPr>
        <w:spacing w:before="0" w:after="0" w:line="240" w:lineRule="auto"/>
      </w:pPr>
      <w:rPr>
        <w:rFonts w:asciiTheme="majorHAnsi" w:hAnsiTheme="majorHAnsi" w:eastAsiaTheme="majorEastAsia" w:cstheme="majorBidi"/>
        <w:b/>
        <w:bCs/>
      </w:rPr>
      <w:tcPr>
        <w:tcBorders>
          <w:top w:val="single" w:color="9BBB59" w:themeColor="accent3" w:sz="8" w:space="0"/>
          <w:left w:val="single" w:color="9BBB59" w:themeColor="accent3" w:sz="8" w:space="0"/>
          <w:bottom w:val="single" w:color="9BBB59" w:themeColor="accent3" w:sz="18" w:space="0"/>
          <w:right w:val="single" w:color="9BBB59" w:themeColor="accent3"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cPr>
        <w:tcBorders>
          <w:top w:val="double" w:color="9BBB59" w:themeColor="accent3" w:sz="6" w:space="0"/>
          <w:left w:val="single" w:color="9BBB59" w:themeColor="accent3" w:sz="8" w:space="0"/>
          <w:bottom w:val="single" w:color="9BBB59" w:themeColor="accent3" w:sz="8" w:space="0"/>
          <w:right w:val="single" w:color="9BBB59" w:themeColor="accent3"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Vert">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shd w:val="clear" w:color="auto" w:fill="E6EED5" w:themeFill="accent3" w:themeFillTint="3F"/>
      </w:tcPr>
    </w:tblStylePr>
    <w:tblStylePr w:type="band1Horz">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sz="8" w:space="0"/>
        </w:tcBorders>
        <w:shd w:val="clear" w:color="auto" w:fill="E6EED5" w:themeFill="accent3" w:themeFillTint="3F"/>
      </w:tcPr>
    </w:tblStylePr>
    <w:tblStylePr w:type="band2Horz">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sz="8" w:space="0"/>
        </w:tcBorders>
      </w:tcPr>
    </w:tblStylePr>
  </w:style>
  <w:style w:type="table" w:styleId="84">
    <w:name w:val="Light Grid Accent 4"/>
    <w:basedOn w:val="12"/>
    <w:uiPriority w:val="62"/>
    <w:pPr>
      <w:spacing w:after="0" w:line="240" w:lineRule="auto"/>
    </w:pPr>
    <w:tblPr>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blStylePr w:type="firstRow">
      <w:pPr>
        <w:spacing w:before="0" w:after="0" w:line="240" w:lineRule="auto"/>
      </w:pPr>
      <w:rPr>
        <w:rFonts w:asciiTheme="majorHAnsi" w:hAnsiTheme="majorHAnsi" w:eastAsiaTheme="majorEastAsia" w:cstheme="majorBidi"/>
        <w:b/>
        <w:bCs/>
      </w:rPr>
      <w:tcPr>
        <w:tcBorders>
          <w:top w:val="single" w:color="8064A2" w:themeColor="accent4" w:sz="8" w:space="0"/>
          <w:left w:val="single" w:color="8064A2" w:themeColor="accent4" w:sz="8" w:space="0"/>
          <w:bottom w:val="single" w:color="8064A2" w:themeColor="accent4" w:sz="18" w:space="0"/>
          <w:right w:val="single" w:color="8064A2" w:themeColor="accent4"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cPr>
        <w:tcBorders>
          <w:top w:val="double" w:color="8064A2" w:themeColor="accent4" w:sz="6" w:space="0"/>
          <w:left w:val="single" w:color="8064A2" w:themeColor="accent4" w:sz="8" w:space="0"/>
          <w:bottom w:val="single" w:color="8064A2" w:themeColor="accent4" w:sz="8" w:space="0"/>
          <w:right w:val="single" w:color="8064A2" w:themeColor="accent4"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Vert">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shd w:val="clear" w:color="auto" w:fill="DFD8E8" w:themeFill="accent4" w:themeFillTint="3F"/>
      </w:tcPr>
    </w:tblStylePr>
    <w:tblStylePr w:type="band1Horz">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sz="8" w:space="0"/>
        </w:tcBorders>
        <w:shd w:val="clear" w:color="auto" w:fill="DFD8E8" w:themeFill="accent4" w:themeFillTint="3F"/>
      </w:tcPr>
    </w:tblStylePr>
    <w:tblStylePr w:type="band2Horz">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sz="8" w:space="0"/>
        </w:tcBorders>
      </w:tcPr>
    </w:tblStylePr>
  </w:style>
  <w:style w:type="table" w:styleId="85">
    <w:name w:val="Light Grid Accent 5"/>
    <w:basedOn w:val="12"/>
    <w:uiPriority w:val="62"/>
    <w:pPr>
      <w:spacing w:after="0" w:line="240" w:lineRule="auto"/>
    </w:pPr>
    <w:tblPr>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blStylePr w:type="firstRow">
      <w:pPr>
        <w:spacing w:before="0" w:after="0" w:line="240" w:lineRule="auto"/>
      </w:pPr>
      <w:rPr>
        <w:rFonts w:asciiTheme="majorHAnsi" w:hAnsiTheme="majorHAnsi" w:eastAsiaTheme="majorEastAsia" w:cstheme="majorBidi"/>
        <w:b/>
        <w:bCs/>
      </w:rPr>
      <w:tcPr>
        <w:tcBorders>
          <w:top w:val="single" w:color="4BACC6" w:themeColor="accent5" w:sz="8" w:space="0"/>
          <w:left w:val="single" w:color="4BACC6" w:themeColor="accent5" w:sz="8" w:space="0"/>
          <w:bottom w:val="single" w:color="4BACC6" w:themeColor="accent5" w:sz="18" w:space="0"/>
          <w:right w:val="single" w:color="4BACC6" w:themeColor="accent5"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cPr>
        <w:tcBorders>
          <w:top w:val="double" w:color="4BACC6" w:themeColor="accent5" w:sz="6" w:space="0"/>
          <w:left w:val="single" w:color="4BACC6" w:themeColor="accent5" w:sz="8" w:space="0"/>
          <w:bottom w:val="single" w:color="4BACC6" w:themeColor="accent5" w:sz="8" w:space="0"/>
          <w:right w:val="single" w:color="4BACC6" w:themeColor="accent5"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Vert">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shd w:val="clear" w:color="auto" w:fill="D2EAF0" w:themeFill="accent5" w:themeFillTint="3F"/>
      </w:tcPr>
    </w:tblStylePr>
    <w:tblStylePr w:type="band1Horz">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sz="8" w:space="0"/>
        </w:tcBorders>
        <w:shd w:val="clear" w:color="auto" w:fill="D2EAF0" w:themeFill="accent5" w:themeFillTint="3F"/>
      </w:tcPr>
    </w:tblStylePr>
    <w:tblStylePr w:type="band2Horz">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sz="8" w:space="0"/>
        </w:tcBorders>
      </w:tcPr>
    </w:tblStylePr>
  </w:style>
  <w:style w:type="table" w:styleId="86">
    <w:name w:val="Light Grid Accent 6"/>
    <w:basedOn w:val="12"/>
    <w:uiPriority w:val="62"/>
    <w:pPr>
      <w:spacing w:after="0" w:line="240" w:lineRule="auto"/>
    </w:pPr>
    <w:tblPr>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blStylePr w:type="firstRow">
      <w:pPr>
        <w:spacing w:before="0" w:after="0" w:line="240" w:lineRule="auto"/>
      </w:pPr>
      <w:rPr>
        <w:rFonts w:asciiTheme="majorHAnsi" w:hAnsiTheme="majorHAnsi" w:eastAsiaTheme="majorEastAsia" w:cstheme="majorBidi"/>
        <w:b/>
        <w:bCs/>
      </w:rPr>
      <w:tcPr>
        <w:tcBorders>
          <w:top w:val="single" w:color="F79646" w:themeColor="accent6" w:sz="8" w:space="0"/>
          <w:left w:val="single" w:color="F79646" w:themeColor="accent6" w:sz="8" w:space="0"/>
          <w:bottom w:val="single" w:color="F79646" w:themeColor="accent6" w:sz="18" w:space="0"/>
          <w:right w:val="single" w:color="F79646" w:themeColor="accent6"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cPr>
        <w:tcBorders>
          <w:top w:val="double" w:color="F79646" w:themeColor="accent6" w:sz="6" w:space="0"/>
          <w:left w:val="single" w:color="F79646" w:themeColor="accent6" w:sz="8" w:space="0"/>
          <w:bottom w:val="single" w:color="F79646" w:themeColor="accent6" w:sz="8" w:space="0"/>
          <w:right w:val="single" w:color="F79646" w:themeColor="accent6"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Vert">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shd w:val="clear" w:color="auto" w:fill="FDE5D1" w:themeFill="accent6" w:themeFillTint="3F"/>
      </w:tcPr>
    </w:tblStylePr>
    <w:tblStylePr w:type="band1Horz">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sz="8" w:space="0"/>
        </w:tcBorders>
        <w:shd w:val="clear" w:color="auto" w:fill="FDE5D1" w:themeFill="accent6" w:themeFillTint="3F"/>
      </w:tcPr>
    </w:tblStylePr>
    <w:tblStylePr w:type="band2Horz">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sz="8" w:space="0"/>
        </w:tcBorders>
      </w:tcPr>
    </w:tblStylePr>
  </w:style>
  <w:style w:type="table" w:styleId="87">
    <w:name w:val="Medium Shading 1"/>
    <w:basedOn w:val="12"/>
    <w:uiPriority w:val="63"/>
    <w:pPr>
      <w:spacing w:after="0" w:line="240" w:lineRule="auto"/>
    </w:pPr>
    <w:tblPr>
      <w:tblBorders>
        <w:top w:val="single" w:color="3F3F3F" w:themeColor="text1" w:themeTint="BF" w:sz="8" w:space="0"/>
        <w:left w:val="single" w:color="3F3F3F" w:themeColor="text1" w:themeTint="BF" w:sz="8" w:space="0"/>
        <w:bottom w:val="single" w:color="3F3F3F" w:themeColor="text1" w:themeTint="BF" w:sz="8" w:space="0"/>
        <w:right w:val="single" w:color="3F3F3F" w:themeColor="text1" w:themeTint="BF" w:sz="8" w:space="0"/>
        <w:insideH w:val="single" w:color="3F3F3F" w:themeColor="text1" w:themeTint="BF" w:sz="8" w:space="0"/>
      </w:tblBorders>
    </w:tblPr>
    <w:tblStylePr w:type="firstRow">
      <w:pPr>
        <w:spacing w:before="0" w:after="0" w:line="240" w:lineRule="auto"/>
      </w:pPr>
      <w:rPr>
        <w:b/>
        <w:bCs/>
        <w:color w:val="FFFFFF" w:themeColor="background1"/>
        <w14:textFill>
          <w14:solidFill>
            <w14:schemeClr w14:val="bg1"/>
          </w14:solidFill>
        </w14:textFill>
      </w:rPr>
      <w:tcPr>
        <w:tcBorders>
          <w:top w:val="single" w:color="3F3F3F" w:themeColor="text1" w:themeTint="BF" w:sz="8" w:space="0"/>
          <w:left w:val="single" w:color="3F3F3F" w:themeColor="text1" w:themeTint="BF" w:sz="8" w:space="0"/>
          <w:bottom w:val="single" w:color="3F3F3F" w:themeColor="text1" w:themeTint="BF" w:sz="8" w:space="0"/>
          <w:right w:val="single" w:color="3F3F3F" w:themeColor="text1" w:themeTint="BF" w:sz="8" w:space="0"/>
          <w:insideH w:val="nil"/>
          <w:insideV w:val="nil"/>
        </w:tcBorders>
        <w:shd w:val="clear" w:color="auto" w:fill="000000" w:themeFill="text1"/>
      </w:tcPr>
    </w:tblStylePr>
    <w:tblStylePr w:type="lastRow">
      <w:pPr>
        <w:spacing w:before="0" w:after="0" w:line="240" w:lineRule="auto"/>
      </w:pPr>
      <w:rPr>
        <w:b/>
        <w:bCs/>
      </w:rPr>
      <w:tcPr>
        <w:tcBorders>
          <w:top w:val="double" w:color="3F3F3F" w:themeColor="text1" w:themeTint="BF" w:sz="6" w:space="0"/>
          <w:left w:val="single" w:color="3F3F3F" w:themeColor="text1" w:themeTint="BF" w:sz="8" w:space="0"/>
          <w:bottom w:val="single" w:color="3F3F3F" w:themeColor="text1" w:themeTint="BF" w:sz="8" w:space="0"/>
          <w:right w:val="single" w:color="3F3F3F" w:themeColor="text1" w:themeTint="BF" w:sz="8" w:space="0"/>
          <w:insideH w:val="nil"/>
          <w:insideV w:val="nil"/>
        </w:tcBorders>
      </w:tcPr>
    </w:tblStylePr>
    <w:tblStylePr w:type="firstCol">
      <w:rPr>
        <w:b/>
        <w:bCs/>
      </w:rPr>
    </w:tblStylePr>
    <w:tblStylePr w:type="lastCol">
      <w:rPr>
        <w:b/>
        <w:bCs/>
      </w:rPr>
    </w:tblStylePr>
    <w:tblStylePr w:type="band1Vert">
      <w:tcPr>
        <w:shd w:val="clear" w:color="auto" w:fill="BFBFBF" w:themeFill="text1" w:themeFillTint="3F"/>
      </w:tcPr>
    </w:tblStylePr>
    <w:tblStylePr w:type="band1Horz">
      <w:tcPr>
        <w:tcBorders>
          <w:insideH w:val="nil"/>
          <w:insideV w:val="nil"/>
        </w:tcBorders>
        <w:shd w:val="clear" w:color="auto" w:fill="BFBFBF" w:themeFill="text1" w:themeFillTint="3F"/>
      </w:tcPr>
    </w:tblStylePr>
    <w:tblStylePr w:type="band2Horz">
      <w:tcPr>
        <w:tcBorders>
          <w:insideH w:val="nil"/>
          <w:insideV w:val="nil"/>
        </w:tcBorders>
      </w:tcPr>
    </w:tblStylePr>
  </w:style>
  <w:style w:type="table" w:styleId="88">
    <w:name w:val="Medium Shading 1 Accent 1"/>
    <w:basedOn w:val="12"/>
    <w:uiPriority w:val="63"/>
    <w:pPr>
      <w:spacing w:after="0" w:line="240" w:lineRule="auto"/>
    </w:pPr>
    <w:tblPr>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tblBorders>
    </w:tblPr>
    <w:tblStylePr w:type="firstRow">
      <w:pPr>
        <w:spacing w:before="0" w:after="0" w:line="240" w:lineRule="auto"/>
      </w:pPr>
      <w:rPr>
        <w:b/>
        <w:bCs/>
        <w:color w:val="FFFFFF" w:themeColor="background1"/>
        <w14:textFill>
          <w14:solidFill>
            <w14:schemeClr w14:val="bg1"/>
          </w14:solidFill>
        </w14:textFill>
      </w:rPr>
      <w:tcPr>
        <w:tc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shd w:val="clear" w:color="auto" w:fill="4F81BD" w:themeFill="accent1"/>
      </w:tcPr>
    </w:tblStylePr>
    <w:tblStylePr w:type="lastRow">
      <w:pPr>
        <w:spacing w:before="0" w:after="0" w:line="240" w:lineRule="auto"/>
      </w:pPr>
      <w:rPr>
        <w:b/>
        <w:bCs/>
      </w:rPr>
      <w:tcPr>
        <w:tcBorders>
          <w:top w:val="double" w:color="7BA0CD" w:themeColor="accent1" w:themeTint="BF" w:sz="6"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tcPr>
    </w:tblStylePr>
    <w:tblStylePr w:type="firstCol">
      <w:rPr>
        <w:b/>
        <w:bCs/>
      </w:rPr>
    </w:tblStylePr>
    <w:tblStylePr w:type="lastCol">
      <w:rPr>
        <w:b/>
        <w:bCs/>
      </w:rPr>
    </w:tblStylePr>
    <w:tblStylePr w:type="band1Vert">
      <w:tcPr>
        <w:shd w:val="clear" w:color="auto" w:fill="D3DFEE" w:themeFill="accent1" w:themeFillTint="3F"/>
      </w:tcPr>
    </w:tblStylePr>
    <w:tblStylePr w:type="band1Horz">
      <w:tcPr>
        <w:tcBorders>
          <w:insideH w:val="nil"/>
          <w:insideV w:val="nil"/>
        </w:tcBorders>
        <w:shd w:val="clear" w:color="auto" w:fill="D3DFEE" w:themeFill="accent1" w:themeFillTint="3F"/>
      </w:tcPr>
    </w:tblStylePr>
    <w:tblStylePr w:type="band2Horz">
      <w:tcPr>
        <w:tcBorders>
          <w:insideH w:val="nil"/>
          <w:insideV w:val="nil"/>
        </w:tcBorders>
      </w:tcPr>
    </w:tblStylePr>
  </w:style>
  <w:style w:type="table" w:styleId="89">
    <w:name w:val="Medium Shading 1 Accent 2"/>
    <w:basedOn w:val="12"/>
    <w:uiPriority w:val="63"/>
    <w:pPr>
      <w:spacing w:after="0" w:line="240" w:lineRule="auto"/>
    </w:pPr>
    <w:tblPr>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tblBorders>
    </w:tblPr>
    <w:tblStylePr w:type="firstRow">
      <w:pPr>
        <w:spacing w:before="0" w:after="0" w:line="240" w:lineRule="auto"/>
      </w:pPr>
      <w:rPr>
        <w:b/>
        <w:bCs/>
        <w:color w:val="FFFFFF" w:themeColor="background1"/>
        <w14:textFill>
          <w14:solidFill>
            <w14:schemeClr w14:val="bg1"/>
          </w14:solidFill>
        </w14:textFill>
      </w:rPr>
      <w:tcPr>
        <w:tc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shd w:val="clear" w:color="auto" w:fill="C0504D" w:themeFill="accent2"/>
      </w:tcPr>
    </w:tblStylePr>
    <w:tblStylePr w:type="lastRow">
      <w:pPr>
        <w:spacing w:before="0" w:after="0" w:line="240" w:lineRule="auto"/>
      </w:pPr>
      <w:rPr>
        <w:b/>
        <w:bCs/>
      </w:rPr>
      <w:tcPr>
        <w:tcBorders>
          <w:top w:val="double" w:color="CF7B79" w:themeColor="accent2" w:themeTint="BF" w:sz="6"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tcPr>
    </w:tblStylePr>
    <w:tblStylePr w:type="firstCol">
      <w:rPr>
        <w:b/>
        <w:bCs/>
      </w:rPr>
    </w:tblStylePr>
    <w:tblStylePr w:type="lastCol">
      <w:rPr>
        <w:b/>
        <w:bCs/>
      </w:rPr>
    </w:tblStylePr>
    <w:tblStylePr w:type="band1Vert">
      <w:tcPr>
        <w:shd w:val="clear" w:color="auto" w:fill="EFD3D3" w:themeFill="accent2" w:themeFillTint="3F"/>
      </w:tcPr>
    </w:tblStylePr>
    <w:tblStylePr w:type="band1Horz">
      <w:tcPr>
        <w:tcBorders>
          <w:insideH w:val="nil"/>
          <w:insideV w:val="nil"/>
        </w:tcBorders>
        <w:shd w:val="clear" w:color="auto" w:fill="EFD3D3" w:themeFill="accent2" w:themeFillTint="3F"/>
      </w:tcPr>
    </w:tblStylePr>
    <w:tblStylePr w:type="band2Horz">
      <w:tcPr>
        <w:tcBorders>
          <w:insideH w:val="nil"/>
          <w:insideV w:val="nil"/>
        </w:tcBorders>
      </w:tcPr>
    </w:tblStylePr>
  </w:style>
  <w:style w:type="table" w:styleId="90">
    <w:name w:val="Medium Shading 1 Accent 3"/>
    <w:basedOn w:val="12"/>
    <w:uiPriority w:val="63"/>
    <w:pPr>
      <w:spacing w:after="0" w:line="240" w:lineRule="auto"/>
    </w:pPr>
    <w:tblPr>
      <w:tblBorders>
        <w:top w:val="single" w:color="B4CC82" w:themeColor="accent3" w:themeTint="BF" w:sz="8" w:space="0"/>
        <w:left w:val="single" w:color="B4CC82" w:themeColor="accent3" w:themeTint="BF" w:sz="8" w:space="0"/>
        <w:bottom w:val="single" w:color="B4CC82" w:themeColor="accent3" w:themeTint="BF" w:sz="8" w:space="0"/>
        <w:right w:val="single" w:color="B4CC82" w:themeColor="accent3" w:themeTint="BF" w:sz="8" w:space="0"/>
        <w:insideH w:val="single" w:color="B4CC82" w:themeColor="accent3" w:themeTint="BF" w:sz="8" w:space="0"/>
      </w:tblBorders>
    </w:tblPr>
    <w:tblStylePr w:type="firstRow">
      <w:pPr>
        <w:spacing w:before="0" w:after="0" w:line="240" w:lineRule="auto"/>
      </w:pPr>
      <w:rPr>
        <w:b/>
        <w:bCs/>
        <w:color w:val="FFFFFF" w:themeColor="background1"/>
        <w14:textFill>
          <w14:solidFill>
            <w14:schemeClr w14:val="bg1"/>
          </w14:solidFill>
        </w14:textFill>
      </w:rPr>
      <w:tcPr>
        <w:tcBorders>
          <w:top w:val="single" w:color="B4CC82" w:themeColor="accent3" w:themeTint="BF" w:sz="8" w:space="0"/>
          <w:left w:val="single" w:color="B4CC82" w:themeColor="accent3" w:themeTint="BF" w:sz="8" w:space="0"/>
          <w:bottom w:val="single" w:color="B4CC82" w:themeColor="accent3" w:themeTint="BF" w:sz="8" w:space="0"/>
          <w:right w:val="single" w:color="B4CC82" w:themeColor="accent3" w:themeTint="BF" w:sz="8" w:space="0"/>
          <w:insideH w:val="nil"/>
          <w:insideV w:val="nil"/>
        </w:tcBorders>
        <w:shd w:val="clear" w:color="auto" w:fill="9BBB59" w:themeFill="accent3"/>
      </w:tcPr>
    </w:tblStylePr>
    <w:tblStylePr w:type="lastRow">
      <w:pPr>
        <w:spacing w:before="0" w:after="0" w:line="240" w:lineRule="auto"/>
      </w:pPr>
      <w:rPr>
        <w:b/>
        <w:bCs/>
      </w:rPr>
      <w:tcPr>
        <w:tcBorders>
          <w:top w:val="double" w:color="B4CC82" w:themeColor="accent3" w:themeTint="BF" w:sz="6" w:space="0"/>
          <w:left w:val="single" w:color="B4CC82" w:themeColor="accent3" w:themeTint="BF" w:sz="8" w:space="0"/>
          <w:bottom w:val="single" w:color="B4CC82" w:themeColor="accent3" w:themeTint="BF" w:sz="8" w:space="0"/>
          <w:right w:val="single" w:color="B4CC82" w:themeColor="accent3" w:themeTint="BF" w:sz="8" w:space="0"/>
          <w:insideH w:val="nil"/>
          <w:insideV w:val="nil"/>
        </w:tcBorders>
      </w:tcPr>
    </w:tblStylePr>
    <w:tblStylePr w:type="firstCol">
      <w:rPr>
        <w:b/>
        <w:bCs/>
      </w:rPr>
    </w:tblStylePr>
    <w:tblStylePr w:type="lastCol">
      <w:rPr>
        <w:b/>
        <w:bCs/>
      </w:rPr>
    </w:tblStylePr>
    <w:tblStylePr w:type="band1Vert">
      <w:tcPr>
        <w:shd w:val="clear" w:color="auto" w:fill="E6EED5" w:themeFill="accent3" w:themeFillTint="3F"/>
      </w:tcPr>
    </w:tblStylePr>
    <w:tblStylePr w:type="band1Horz">
      <w:tcPr>
        <w:tcBorders>
          <w:insideH w:val="nil"/>
          <w:insideV w:val="nil"/>
        </w:tcBorders>
        <w:shd w:val="clear" w:color="auto" w:fill="E6EED5" w:themeFill="accent3" w:themeFillTint="3F"/>
      </w:tcPr>
    </w:tblStylePr>
    <w:tblStylePr w:type="band2Horz">
      <w:tcPr>
        <w:tcBorders>
          <w:insideH w:val="nil"/>
          <w:insideV w:val="nil"/>
        </w:tcBorders>
      </w:tcPr>
    </w:tblStylePr>
  </w:style>
  <w:style w:type="table" w:styleId="91">
    <w:name w:val="Medium Shading 1 Accent 4"/>
    <w:basedOn w:val="12"/>
    <w:uiPriority w:val="63"/>
    <w:pPr>
      <w:spacing w:after="0" w:line="240" w:lineRule="auto"/>
    </w:pPr>
    <w:tblPr>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tblBorders>
    </w:tblPr>
    <w:tblStylePr w:type="firstRow">
      <w:pPr>
        <w:spacing w:before="0" w:after="0" w:line="240" w:lineRule="auto"/>
      </w:pPr>
      <w:rPr>
        <w:b/>
        <w:bCs/>
        <w:color w:val="FFFFFF" w:themeColor="background1"/>
        <w14:textFill>
          <w14:solidFill>
            <w14:schemeClr w14:val="bg1"/>
          </w14:solidFill>
        </w14:textFill>
      </w:rPr>
      <w:tcPr>
        <w:tc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shd w:val="clear" w:color="auto" w:fill="8064A2" w:themeFill="accent4"/>
      </w:tcPr>
    </w:tblStylePr>
    <w:tblStylePr w:type="lastRow">
      <w:pPr>
        <w:spacing w:before="0" w:after="0" w:line="240" w:lineRule="auto"/>
      </w:pPr>
      <w:rPr>
        <w:b/>
        <w:bCs/>
      </w:rPr>
      <w:tcPr>
        <w:tcBorders>
          <w:top w:val="double" w:color="9F8AB9" w:themeColor="accent4" w:themeTint="BF" w:sz="6"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tcPr>
    </w:tblStylePr>
    <w:tblStylePr w:type="firstCol">
      <w:rPr>
        <w:b/>
        <w:bCs/>
      </w:rPr>
    </w:tblStylePr>
    <w:tblStylePr w:type="lastCol">
      <w:rPr>
        <w:b/>
        <w:bCs/>
      </w:rPr>
    </w:tblStylePr>
    <w:tblStylePr w:type="band1Vert">
      <w:tcPr>
        <w:shd w:val="clear" w:color="auto" w:fill="DFD8E8" w:themeFill="accent4" w:themeFillTint="3F"/>
      </w:tcPr>
    </w:tblStylePr>
    <w:tblStylePr w:type="band1Horz">
      <w:tcPr>
        <w:tcBorders>
          <w:insideH w:val="nil"/>
          <w:insideV w:val="nil"/>
        </w:tcBorders>
        <w:shd w:val="clear" w:color="auto" w:fill="DFD8E8" w:themeFill="accent4" w:themeFillTint="3F"/>
      </w:tcPr>
    </w:tblStylePr>
    <w:tblStylePr w:type="band2Horz">
      <w:tcPr>
        <w:tcBorders>
          <w:insideH w:val="nil"/>
          <w:insideV w:val="nil"/>
        </w:tcBorders>
      </w:tcPr>
    </w:tblStylePr>
  </w:style>
  <w:style w:type="table" w:styleId="92">
    <w:name w:val="Medium Shading 1 Accent 5"/>
    <w:basedOn w:val="12"/>
    <w:uiPriority w:val="63"/>
    <w:pPr>
      <w:spacing w:after="0" w:line="240" w:lineRule="auto"/>
    </w:pPr>
    <w:tblPr>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tblBorders>
    </w:tblPr>
    <w:tblStylePr w:type="firstRow">
      <w:pPr>
        <w:spacing w:before="0" w:after="0" w:line="240" w:lineRule="auto"/>
      </w:pPr>
      <w:rPr>
        <w:b/>
        <w:bCs/>
        <w:color w:val="FFFFFF" w:themeColor="background1"/>
        <w14:textFill>
          <w14:solidFill>
            <w14:schemeClr w14:val="bg1"/>
          </w14:solidFill>
        </w14:textFill>
      </w:rPr>
      <w:tcPr>
        <w:tc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shd w:val="clear" w:color="auto" w:fill="4BACC6" w:themeFill="accent5"/>
      </w:tcPr>
    </w:tblStylePr>
    <w:tblStylePr w:type="lastRow">
      <w:pPr>
        <w:spacing w:before="0" w:after="0" w:line="240" w:lineRule="auto"/>
      </w:pPr>
      <w:rPr>
        <w:b/>
        <w:bCs/>
      </w:rPr>
      <w:tcPr>
        <w:tcBorders>
          <w:top w:val="double" w:color="78C0D4" w:themeColor="accent5" w:themeTint="BF" w:sz="6"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tcPr>
    </w:tblStylePr>
    <w:tblStylePr w:type="firstCol">
      <w:rPr>
        <w:b/>
        <w:bCs/>
      </w:rPr>
    </w:tblStylePr>
    <w:tblStylePr w:type="lastCol">
      <w:rPr>
        <w:b/>
        <w:bCs/>
      </w:rPr>
    </w:tblStylePr>
    <w:tblStylePr w:type="band1Vert">
      <w:tcPr>
        <w:shd w:val="clear" w:color="auto" w:fill="D2EAF0" w:themeFill="accent5" w:themeFillTint="3F"/>
      </w:tcPr>
    </w:tblStylePr>
    <w:tblStylePr w:type="band1Horz">
      <w:tcPr>
        <w:tcBorders>
          <w:insideH w:val="nil"/>
          <w:insideV w:val="nil"/>
        </w:tcBorders>
        <w:shd w:val="clear" w:color="auto" w:fill="D2EAF0" w:themeFill="accent5" w:themeFillTint="3F"/>
      </w:tcPr>
    </w:tblStylePr>
    <w:tblStylePr w:type="band2Horz">
      <w:tcPr>
        <w:tcBorders>
          <w:insideH w:val="nil"/>
          <w:insideV w:val="nil"/>
        </w:tcBorders>
      </w:tcPr>
    </w:tblStylePr>
  </w:style>
  <w:style w:type="table" w:styleId="93">
    <w:name w:val="Medium Shading 1 Accent 6"/>
    <w:basedOn w:val="12"/>
    <w:uiPriority w:val="63"/>
    <w:pPr>
      <w:spacing w:after="0" w:line="240" w:lineRule="auto"/>
    </w:pPr>
    <w:tblPr>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tblBorders>
    </w:tblPr>
    <w:tblStylePr w:type="firstRow">
      <w:pPr>
        <w:spacing w:before="0" w:after="0" w:line="240" w:lineRule="auto"/>
      </w:pPr>
      <w:rPr>
        <w:b/>
        <w:bCs/>
        <w:color w:val="FFFFFF" w:themeColor="background1"/>
        <w14:textFill>
          <w14:solidFill>
            <w14:schemeClr w14:val="bg1"/>
          </w14:solidFill>
        </w14:textFill>
      </w:rPr>
      <w:tcPr>
        <w:tc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shd w:val="clear" w:color="auto" w:fill="F79646" w:themeFill="accent6"/>
      </w:tcPr>
    </w:tblStylePr>
    <w:tblStylePr w:type="lastRow">
      <w:pPr>
        <w:spacing w:before="0" w:after="0" w:line="240" w:lineRule="auto"/>
      </w:pPr>
      <w:rPr>
        <w:b/>
        <w:bCs/>
      </w:rPr>
      <w:tcPr>
        <w:tcBorders>
          <w:top w:val="double" w:color="F9B074" w:themeColor="accent6" w:themeTint="BF" w:sz="6"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tcPr>
    </w:tblStylePr>
    <w:tblStylePr w:type="firstCol">
      <w:rPr>
        <w:b/>
        <w:bCs/>
      </w:rPr>
    </w:tblStylePr>
    <w:tblStylePr w:type="lastCol">
      <w:rPr>
        <w:b/>
        <w:bCs/>
      </w:rPr>
    </w:tblStylePr>
    <w:tblStylePr w:type="band1Vert">
      <w:tcPr>
        <w:shd w:val="clear" w:color="auto" w:fill="FDE5D1" w:themeFill="accent6" w:themeFillTint="3F"/>
      </w:tcPr>
    </w:tblStylePr>
    <w:tblStylePr w:type="band1Horz">
      <w:tcPr>
        <w:tcBorders>
          <w:insideH w:val="nil"/>
          <w:insideV w:val="nil"/>
        </w:tcBorders>
        <w:shd w:val="clear" w:color="auto" w:fill="FDE5D1" w:themeFill="accent6" w:themeFillTint="3F"/>
      </w:tcPr>
    </w:tblStylePr>
    <w:tblStylePr w:type="band2Horz">
      <w:tcPr>
        <w:tcBorders>
          <w:insideH w:val="nil"/>
          <w:insideV w:val="nil"/>
        </w:tcBorders>
      </w:tcPr>
    </w:tblStylePr>
  </w:style>
  <w:style w:type="table" w:styleId="94">
    <w:name w:val="Medium Shading 2"/>
    <w:basedOn w:val="12"/>
    <w:uiPriority w:val="64"/>
    <w:pPr>
      <w:spacing w:after="0" w:line="240" w:lineRule="auto"/>
    </w:pPr>
    <w:tblPr>
      <w:tblBorders>
        <w:top w:val="single" w:color="auto" w:sz="18" w:space="0"/>
        <w:bottom w:val="single" w:color="auto" w:sz="18" w:space="0"/>
      </w:tblBorders>
    </w:tblPr>
    <w:tblStylePr w:type="firstRow">
      <w:pPr>
        <w:spacing w:before="0" w:after="0" w:line="240" w:lineRule="auto"/>
      </w:pPr>
      <w:rPr>
        <w:b/>
        <w:bCs/>
        <w:color w:val="FFFFFF" w:themeColor="background1"/>
        <w14:textFill>
          <w14:solidFill>
            <w14:schemeClr w14:val="bg1"/>
          </w14:solidFill>
        </w14:textFill>
      </w:r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cPr>
        <w:tcBorders>
          <w:top w:val="nil"/>
          <w:left w:val="nil"/>
          <w:bottom w:val="single" w:color="auto" w:sz="18" w:space="0"/>
          <w:right w:val="nil"/>
          <w:insideH w:val="nil"/>
          <w:insideV w:val="nil"/>
        </w:tcBorders>
        <w:shd w:val="clear" w:color="auto" w:fill="000000" w:themeFill="text1"/>
      </w:tcPr>
    </w:tblStylePr>
    <w:tblStylePr w:type="lastCol">
      <w:rPr>
        <w:b/>
        <w:bCs/>
        <w:color w:val="FFFFFF" w:themeColor="background1"/>
        <w14:textFill>
          <w14:solidFill>
            <w14:schemeClr w14:val="bg1"/>
          </w14:solidFill>
        </w14:textFill>
      </w:rPr>
      <w:tcPr>
        <w:tcBorders>
          <w:left w:val="nil"/>
          <w:right w:val="nil"/>
          <w:insideH w:val="nil"/>
          <w:insideV w:val="nil"/>
        </w:tcBorders>
        <w:shd w:val="clear" w:color="auto" w:fill="000000" w:themeFill="text1"/>
      </w:tcPr>
    </w:tblStylePr>
    <w:tblStylePr w:type="band1Vert">
      <w:tcPr>
        <w:tcBorders>
          <w:left w:val="nil"/>
          <w:right w:val="nil"/>
          <w:insideH w:val="nil"/>
          <w:insideV w:val="nil"/>
        </w:tcBorders>
        <w:shd w:val="clear" w:color="auto" w:fill="D7D7D7" w:themeFill="background1" w:themeFillShade="D8"/>
      </w:tcPr>
    </w:tblStylePr>
    <w:tblStylePr w:type="band1Horz">
      <w:tcPr>
        <w:shd w:val="clear" w:color="auto" w:fill="D7D7D7" w:themeFill="background1" w:themeFillShade="D8"/>
      </w:tcPr>
    </w:tblStylePr>
    <w:tblStylePr w:type="neCell">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cPr>
        <w:tcBorders>
          <w:top w:val="single" w:color="auto" w:sz="18" w:space="0"/>
          <w:left w:val="nil"/>
          <w:bottom w:val="single" w:color="auto" w:sz="18" w:space="0"/>
          <w:right w:val="nil"/>
          <w:insideH w:val="nil"/>
          <w:insideV w:val="nil"/>
        </w:tcBorders>
      </w:tcPr>
    </w:tblStylePr>
  </w:style>
  <w:style w:type="table" w:styleId="95">
    <w:name w:val="Medium Shading 2 Accent 1"/>
    <w:basedOn w:val="12"/>
    <w:uiPriority w:val="64"/>
    <w:pPr>
      <w:spacing w:after="0" w:line="240" w:lineRule="auto"/>
    </w:pPr>
    <w:tblPr>
      <w:tblBorders>
        <w:top w:val="single" w:color="auto" w:sz="18" w:space="0"/>
        <w:bottom w:val="single" w:color="auto" w:sz="18" w:space="0"/>
      </w:tblBorders>
    </w:tblPr>
    <w:tblStylePr w:type="firstRow">
      <w:pPr>
        <w:spacing w:before="0" w:after="0" w:line="240" w:lineRule="auto"/>
      </w:pPr>
      <w:rPr>
        <w:b/>
        <w:bCs/>
        <w:color w:val="FFFFFF" w:themeColor="background1"/>
        <w14:textFill>
          <w14:solidFill>
            <w14:schemeClr w14:val="bg1"/>
          </w14:solidFill>
        </w14:textFill>
      </w:rPr>
      <w:tcPr>
        <w:tcBorders>
          <w:top w:val="single" w:color="auto" w:sz="18" w:space="0"/>
          <w:left w:val="nil"/>
          <w:bottom w:val="single" w:color="auto" w:sz="18" w:space="0"/>
          <w:right w:val="nil"/>
          <w:insideH w:val="nil"/>
          <w:insideV w:val="nil"/>
        </w:tcBorders>
        <w:shd w:val="clear" w:color="auto" w:fill="4F81BD" w:themeFill="accent1"/>
      </w:tcPr>
    </w:tblStylePr>
    <w:tblStylePr w:type="lastRow">
      <w:pPr>
        <w:spacing w:before="0" w:after="0" w:line="240" w:lineRule="auto"/>
      </w:pPr>
      <w:rPr>
        <w:color w:val="auto"/>
      </w:r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cPr>
        <w:tcBorders>
          <w:top w:val="nil"/>
          <w:left w:val="nil"/>
          <w:bottom w:val="single" w:color="auto" w:sz="18" w:space="0"/>
          <w:right w:val="nil"/>
          <w:insideH w:val="nil"/>
          <w:insideV w:val="nil"/>
        </w:tcBorders>
        <w:shd w:val="clear" w:color="auto" w:fill="4F81BD" w:themeFill="accent1"/>
      </w:tcPr>
    </w:tblStylePr>
    <w:tblStylePr w:type="lastCol">
      <w:rPr>
        <w:b/>
        <w:bCs/>
        <w:color w:val="FFFFFF" w:themeColor="background1"/>
        <w14:textFill>
          <w14:solidFill>
            <w14:schemeClr w14:val="bg1"/>
          </w14:solidFill>
        </w14:textFill>
      </w:rPr>
      <w:tcPr>
        <w:tcBorders>
          <w:left w:val="nil"/>
          <w:right w:val="nil"/>
          <w:insideH w:val="nil"/>
          <w:insideV w:val="nil"/>
        </w:tcBorders>
        <w:shd w:val="clear" w:color="auto" w:fill="4F81BD" w:themeFill="accent1"/>
      </w:tcPr>
    </w:tblStylePr>
    <w:tblStylePr w:type="band1Vert">
      <w:tcPr>
        <w:tcBorders>
          <w:left w:val="nil"/>
          <w:right w:val="nil"/>
          <w:insideH w:val="nil"/>
          <w:insideV w:val="nil"/>
        </w:tcBorders>
        <w:shd w:val="clear" w:color="auto" w:fill="D7D7D7" w:themeFill="background1" w:themeFillShade="D8"/>
      </w:tcPr>
    </w:tblStylePr>
    <w:tblStylePr w:type="band1Horz">
      <w:tcPr>
        <w:shd w:val="clear" w:color="auto" w:fill="D7D7D7" w:themeFill="background1" w:themeFillShade="D8"/>
      </w:tcPr>
    </w:tblStylePr>
    <w:tblStylePr w:type="neCell">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cPr>
        <w:tcBorders>
          <w:top w:val="single" w:color="auto" w:sz="18" w:space="0"/>
          <w:left w:val="nil"/>
          <w:bottom w:val="single" w:color="auto" w:sz="18" w:space="0"/>
          <w:right w:val="nil"/>
          <w:insideH w:val="nil"/>
          <w:insideV w:val="nil"/>
        </w:tcBorders>
      </w:tcPr>
    </w:tblStylePr>
  </w:style>
  <w:style w:type="table" w:styleId="96">
    <w:name w:val="Medium Shading 2 Accent 2"/>
    <w:basedOn w:val="12"/>
    <w:uiPriority w:val="64"/>
    <w:pPr>
      <w:spacing w:after="0" w:line="240" w:lineRule="auto"/>
    </w:pPr>
    <w:tblPr>
      <w:tblBorders>
        <w:top w:val="single" w:color="auto" w:sz="18" w:space="0"/>
        <w:bottom w:val="single" w:color="auto" w:sz="18" w:space="0"/>
      </w:tblBorders>
    </w:tblPr>
    <w:tblStylePr w:type="firstRow">
      <w:pPr>
        <w:spacing w:before="0" w:after="0" w:line="240" w:lineRule="auto"/>
      </w:pPr>
      <w:rPr>
        <w:b/>
        <w:bCs/>
        <w:color w:val="FFFFFF" w:themeColor="background1"/>
        <w14:textFill>
          <w14:solidFill>
            <w14:schemeClr w14:val="bg1"/>
          </w14:solidFill>
        </w14:textFill>
      </w:rPr>
      <w:tcPr>
        <w:tcBorders>
          <w:top w:val="single" w:color="auto" w:sz="18" w:space="0"/>
          <w:left w:val="nil"/>
          <w:bottom w:val="single" w:color="auto" w:sz="18" w:space="0"/>
          <w:right w:val="nil"/>
          <w:insideH w:val="nil"/>
          <w:insideV w:val="nil"/>
        </w:tcBorders>
        <w:shd w:val="clear" w:color="auto" w:fill="C0504D" w:themeFill="accent2"/>
      </w:tcPr>
    </w:tblStylePr>
    <w:tblStylePr w:type="lastRow">
      <w:pPr>
        <w:spacing w:before="0" w:after="0" w:line="240" w:lineRule="auto"/>
      </w:pPr>
      <w:rPr>
        <w:color w:val="auto"/>
      </w:r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cPr>
        <w:tcBorders>
          <w:top w:val="nil"/>
          <w:left w:val="nil"/>
          <w:bottom w:val="single" w:color="auto" w:sz="18" w:space="0"/>
          <w:right w:val="nil"/>
          <w:insideH w:val="nil"/>
          <w:insideV w:val="nil"/>
        </w:tcBorders>
        <w:shd w:val="clear" w:color="auto" w:fill="C0504D" w:themeFill="accent2"/>
      </w:tcPr>
    </w:tblStylePr>
    <w:tblStylePr w:type="lastCol">
      <w:rPr>
        <w:b/>
        <w:bCs/>
        <w:color w:val="FFFFFF" w:themeColor="background1"/>
        <w14:textFill>
          <w14:solidFill>
            <w14:schemeClr w14:val="bg1"/>
          </w14:solidFill>
        </w14:textFill>
      </w:rPr>
      <w:tcPr>
        <w:tcBorders>
          <w:left w:val="nil"/>
          <w:right w:val="nil"/>
          <w:insideH w:val="nil"/>
          <w:insideV w:val="nil"/>
        </w:tcBorders>
        <w:shd w:val="clear" w:color="auto" w:fill="C0504D" w:themeFill="accent2"/>
      </w:tcPr>
    </w:tblStylePr>
    <w:tblStylePr w:type="band1Vert">
      <w:tcPr>
        <w:tcBorders>
          <w:left w:val="nil"/>
          <w:right w:val="nil"/>
          <w:insideH w:val="nil"/>
          <w:insideV w:val="nil"/>
        </w:tcBorders>
        <w:shd w:val="clear" w:color="auto" w:fill="D7D7D7" w:themeFill="background1" w:themeFillShade="D8"/>
      </w:tcPr>
    </w:tblStylePr>
    <w:tblStylePr w:type="band1Horz">
      <w:tcPr>
        <w:shd w:val="clear" w:color="auto" w:fill="D7D7D7" w:themeFill="background1" w:themeFillShade="D8"/>
      </w:tcPr>
    </w:tblStylePr>
    <w:tblStylePr w:type="neCell">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cPr>
        <w:tcBorders>
          <w:top w:val="single" w:color="auto" w:sz="18" w:space="0"/>
          <w:left w:val="nil"/>
          <w:bottom w:val="single" w:color="auto" w:sz="18" w:space="0"/>
          <w:right w:val="nil"/>
          <w:insideH w:val="nil"/>
          <w:insideV w:val="nil"/>
        </w:tcBorders>
      </w:tcPr>
    </w:tblStylePr>
  </w:style>
  <w:style w:type="table" w:styleId="97">
    <w:name w:val="Medium Shading 2 Accent 3"/>
    <w:basedOn w:val="12"/>
    <w:uiPriority w:val="64"/>
    <w:pPr>
      <w:spacing w:after="0" w:line="240" w:lineRule="auto"/>
    </w:pPr>
    <w:tblPr>
      <w:tblBorders>
        <w:top w:val="single" w:color="auto" w:sz="18" w:space="0"/>
        <w:bottom w:val="single" w:color="auto" w:sz="18" w:space="0"/>
      </w:tblBorders>
    </w:tblPr>
    <w:tblStylePr w:type="firstRow">
      <w:pPr>
        <w:spacing w:before="0" w:after="0" w:line="240" w:lineRule="auto"/>
      </w:pPr>
      <w:rPr>
        <w:b/>
        <w:bCs/>
        <w:color w:val="FFFFFF" w:themeColor="background1"/>
        <w14:textFill>
          <w14:solidFill>
            <w14:schemeClr w14:val="bg1"/>
          </w14:solidFill>
        </w14:textFill>
      </w:rPr>
      <w:tcPr>
        <w:tcBorders>
          <w:top w:val="single" w:color="auto" w:sz="18" w:space="0"/>
          <w:left w:val="nil"/>
          <w:bottom w:val="single" w:color="auto" w:sz="18" w:space="0"/>
          <w:right w:val="nil"/>
          <w:insideH w:val="nil"/>
          <w:insideV w:val="nil"/>
        </w:tcBorders>
        <w:shd w:val="clear" w:color="auto" w:fill="9BBB59" w:themeFill="accent3"/>
      </w:tcPr>
    </w:tblStylePr>
    <w:tblStylePr w:type="lastRow">
      <w:pPr>
        <w:spacing w:before="0" w:after="0" w:line="240" w:lineRule="auto"/>
      </w:pPr>
      <w:rPr>
        <w:color w:val="auto"/>
      </w:r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cPr>
        <w:tcBorders>
          <w:top w:val="nil"/>
          <w:left w:val="nil"/>
          <w:bottom w:val="single" w:color="auto" w:sz="18" w:space="0"/>
          <w:right w:val="nil"/>
          <w:insideH w:val="nil"/>
          <w:insideV w:val="nil"/>
        </w:tcBorders>
        <w:shd w:val="clear" w:color="auto" w:fill="9BBB59" w:themeFill="accent3"/>
      </w:tcPr>
    </w:tblStylePr>
    <w:tblStylePr w:type="lastCol">
      <w:rPr>
        <w:b/>
        <w:bCs/>
        <w:color w:val="FFFFFF" w:themeColor="background1"/>
        <w14:textFill>
          <w14:solidFill>
            <w14:schemeClr w14:val="bg1"/>
          </w14:solidFill>
        </w14:textFill>
      </w:rPr>
      <w:tcPr>
        <w:tcBorders>
          <w:left w:val="nil"/>
          <w:right w:val="nil"/>
          <w:insideH w:val="nil"/>
          <w:insideV w:val="nil"/>
        </w:tcBorders>
        <w:shd w:val="clear" w:color="auto" w:fill="9BBB59" w:themeFill="accent3"/>
      </w:tcPr>
    </w:tblStylePr>
    <w:tblStylePr w:type="band1Vert">
      <w:tcPr>
        <w:tcBorders>
          <w:left w:val="nil"/>
          <w:right w:val="nil"/>
          <w:insideH w:val="nil"/>
          <w:insideV w:val="nil"/>
        </w:tcBorders>
        <w:shd w:val="clear" w:color="auto" w:fill="D7D7D7" w:themeFill="background1" w:themeFillShade="D8"/>
      </w:tcPr>
    </w:tblStylePr>
    <w:tblStylePr w:type="band1Horz">
      <w:tcPr>
        <w:shd w:val="clear" w:color="auto" w:fill="D7D7D7" w:themeFill="background1" w:themeFillShade="D8"/>
      </w:tcPr>
    </w:tblStylePr>
    <w:tblStylePr w:type="neCell">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cPr>
        <w:tcBorders>
          <w:top w:val="single" w:color="auto" w:sz="18" w:space="0"/>
          <w:left w:val="nil"/>
          <w:bottom w:val="single" w:color="auto" w:sz="18" w:space="0"/>
          <w:right w:val="nil"/>
          <w:insideH w:val="nil"/>
          <w:insideV w:val="nil"/>
        </w:tcBorders>
      </w:tcPr>
    </w:tblStylePr>
  </w:style>
  <w:style w:type="table" w:styleId="98">
    <w:name w:val="Medium Shading 2 Accent 4"/>
    <w:basedOn w:val="12"/>
    <w:uiPriority w:val="64"/>
    <w:pPr>
      <w:spacing w:after="0" w:line="240" w:lineRule="auto"/>
    </w:pPr>
    <w:tblPr>
      <w:tblBorders>
        <w:top w:val="single" w:color="auto" w:sz="18" w:space="0"/>
        <w:bottom w:val="single" w:color="auto" w:sz="18" w:space="0"/>
      </w:tblBorders>
    </w:tblPr>
    <w:tblStylePr w:type="firstRow">
      <w:pPr>
        <w:spacing w:before="0" w:after="0" w:line="240" w:lineRule="auto"/>
      </w:pPr>
      <w:rPr>
        <w:b/>
        <w:bCs/>
        <w:color w:val="FFFFFF" w:themeColor="background1"/>
        <w14:textFill>
          <w14:solidFill>
            <w14:schemeClr w14:val="bg1"/>
          </w14:solidFill>
        </w14:textFill>
      </w:rPr>
      <w:tcPr>
        <w:tcBorders>
          <w:top w:val="single" w:color="auto" w:sz="18" w:space="0"/>
          <w:left w:val="nil"/>
          <w:bottom w:val="single" w:color="auto" w:sz="18" w:space="0"/>
          <w:right w:val="nil"/>
          <w:insideH w:val="nil"/>
          <w:insideV w:val="nil"/>
        </w:tcBorders>
        <w:shd w:val="clear" w:color="auto" w:fill="8064A2" w:themeFill="accent4"/>
      </w:tcPr>
    </w:tblStylePr>
    <w:tblStylePr w:type="lastRow">
      <w:pPr>
        <w:spacing w:before="0" w:after="0" w:line="240" w:lineRule="auto"/>
      </w:pPr>
      <w:rPr>
        <w:color w:val="auto"/>
      </w:r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cPr>
        <w:tcBorders>
          <w:top w:val="nil"/>
          <w:left w:val="nil"/>
          <w:bottom w:val="single" w:color="auto" w:sz="18" w:space="0"/>
          <w:right w:val="nil"/>
          <w:insideH w:val="nil"/>
          <w:insideV w:val="nil"/>
        </w:tcBorders>
        <w:shd w:val="clear" w:color="auto" w:fill="8064A2" w:themeFill="accent4"/>
      </w:tcPr>
    </w:tblStylePr>
    <w:tblStylePr w:type="lastCol">
      <w:rPr>
        <w:b/>
        <w:bCs/>
        <w:color w:val="FFFFFF" w:themeColor="background1"/>
        <w14:textFill>
          <w14:solidFill>
            <w14:schemeClr w14:val="bg1"/>
          </w14:solidFill>
        </w14:textFill>
      </w:rPr>
      <w:tcPr>
        <w:tcBorders>
          <w:left w:val="nil"/>
          <w:right w:val="nil"/>
          <w:insideH w:val="nil"/>
          <w:insideV w:val="nil"/>
        </w:tcBorders>
        <w:shd w:val="clear" w:color="auto" w:fill="8064A2" w:themeFill="accent4"/>
      </w:tcPr>
    </w:tblStylePr>
    <w:tblStylePr w:type="band1Vert">
      <w:tcPr>
        <w:tcBorders>
          <w:left w:val="nil"/>
          <w:right w:val="nil"/>
          <w:insideH w:val="nil"/>
          <w:insideV w:val="nil"/>
        </w:tcBorders>
        <w:shd w:val="clear" w:color="auto" w:fill="D7D7D7" w:themeFill="background1" w:themeFillShade="D8"/>
      </w:tcPr>
    </w:tblStylePr>
    <w:tblStylePr w:type="band1Horz">
      <w:tcPr>
        <w:shd w:val="clear" w:color="auto" w:fill="D7D7D7" w:themeFill="background1" w:themeFillShade="D8"/>
      </w:tcPr>
    </w:tblStylePr>
    <w:tblStylePr w:type="neCell">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cPr>
        <w:tcBorders>
          <w:top w:val="single" w:color="auto" w:sz="18" w:space="0"/>
          <w:left w:val="nil"/>
          <w:bottom w:val="single" w:color="auto" w:sz="18" w:space="0"/>
          <w:right w:val="nil"/>
          <w:insideH w:val="nil"/>
          <w:insideV w:val="nil"/>
        </w:tcBorders>
      </w:tcPr>
    </w:tblStylePr>
  </w:style>
  <w:style w:type="table" w:styleId="99">
    <w:name w:val="Medium Shading 2 Accent 5"/>
    <w:basedOn w:val="12"/>
    <w:uiPriority w:val="64"/>
    <w:pPr>
      <w:spacing w:after="0" w:line="240" w:lineRule="auto"/>
    </w:pPr>
    <w:tblPr>
      <w:tblBorders>
        <w:top w:val="single" w:color="auto" w:sz="18" w:space="0"/>
        <w:bottom w:val="single" w:color="auto" w:sz="18" w:space="0"/>
      </w:tblBorders>
    </w:tblPr>
    <w:tblStylePr w:type="firstRow">
      <w:pPr>
        <w:spacing w:before="0" w:after="0" w:line="240" w:lineRule="auto"/>
      </w:pPr>
      <w:rPr>
        <w:b/>
        <w:bCs/>
        <w:color w:val="FFFFFF" w:themeColor="background1"/>
        <w14:textFill>
          <w14:solidFill>
            <w14:schemeClr w14:val="bg1"/>
          </w14:solidFill>
        </w14:textFill>
      </w:rPr>
      <w:tcPr>
        <w:tcBorders>
          <w:top w:val="single" w:color="auto" w:sz="18" w:space="0"/>
          <w:left w:val="nil"/>
          <w:bottom w:val="single" w:color="auto" w:sz="18" w:space="0"/>
          <w:right w:val="nil"/>
          <w:insideH w:val="nil"/>
          <w:insideV w:val="nil"/>
        </w:tcBorders>
        <w:shd w:val="clear" w:color="auto" w:fill="4BACC6" w:themeFill="accent5"/>
      </w:tcPr>
    </w:tblStylePr>
    <w:tblStylePr w:type="lastRow">
      <w:pPr>
        <w:spacing w:before="0" w:after="0" w:line="240" w:lineRule="auto"/>
      </w:pPr>
      <w:rPr>
        <w:color w:val="auto"/>
      </w:r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cPr>
        <w:tcBorders>
          <w:top w:val="nil"/>
          <w:left w:val="nil"/>
          <w:bottom w:val="single" w:color="auto" w:sz="18" w:space="0"/>
          <w:right w:val="nil"/>
          <w:insideH w:val="nil"/>
          <w:insideV w:val="nil"/>
        </w:tcBorders>
        <w:shd w:val="clear" w:color="auto" w:fill="4BACC6" w:themeFill="accent5"/>
      </w:tcPr>
    </w:tblStylePr>
    <w:tblStylePr w:type="lastCol">
      <w:rPr>
        <w:b/>
        <w:bCs/>
        <w:color w:val="FFFFFF" w:themeColor="background1"/>
        <w14:textFill>
          <w14:solidFill>
            <w14:schemeClr w14:val="bg1"/>
          </w14:solidFill>
        </w14:textFill>
      </w:rPr>
      <w:tcPr>
        <w:tcBorders>
          <w:left w:val="nil"/>
          <w:right w:val="nil"/>
          <w:insideH w:val="nil"/>
          <w:insideV w:val="nil"/>
        </w:tcBorders>
        <w:shd w:val="clear" w:color="auto" w:fill="4BACC6" w:themeFill="accent5"/>
      </w:tcPr>
    </w:tblStylePr>
    <w:tblStylePr w:type="band1Vert">
      <w:tcPr>
        <w:tcBorders>
          <w:left w:val="nil"/>
          <w:right w:val="nil"/>
          <w:insideH w:val="nil"/>
          <w:insideV w:val="nil"/>
        </w:tcBorders>
        <w:shd w:val="clear" w:color="auto" w:fill="D7D7D7" w:themeFill="background1" w:themeFillShade="D8"/>
      </w:tcPr>
    </w:tblStylePr>
    <w:tblStylePr w:type="band1Horz">
      <w:tcPr>
        <w:shd w:val="clear" w:color="auto" w:fill="D7D7D7" w:themeFill="background1" w:themeFillShade="D8"/>
      </w:tcPr>
    </w:tblStylePr>
    <w:tblStylePr w:type="neCell">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cPr>
        <w:tcBorders>
          <w:top w:val="single" w:color="auto" w:sz="18" w:space="0"/>
          <w:left w:val="nil"/>
          <w:bottom w:val="single" w:color="auto" w:sz="18" w:space="0"/>
          <w:right w:val="nil"/>
          <w:insideH w:val="nil"/>
          <w:insideV w:val="nil"/>
        </w:tcBorders>
      </w:tcPr>
    </w:tblStylePr>
  </w:style>
  <w:style w:type="table" w:styleId="100">
    <w:name w:val="Medium Shading 2 Accent 6"/>
    <w:basedOn w:val="12"/>
    <w:uiPriority w:val="64"/>
    <w:pPr>
      <w:spacing w:after="0" w:line="240" w:lineRule="auto"/>
    </w:pPr>
    <w:tblPr>
      <w:tblBorders>
        <w:top w:val="single" w:color="auto" w:sz="18" w:space="0"/>
        <w:bottom w:val="single" w:color="auto" w:sz="18" w:space="0"/>
      </w:tblBorders>
    </w:tblPr>
    <w:tblStylePr w:type="firstRow">
      <w:pPr>
        <w:spacing w:before="0" w:after="0" w:line="240" w:lineRule="auto"/>
      </w:pPr>
      <w:rPr>
        <w:b/>
        <w:bCs/>
        <w:color w:val="FFFFFF" w:themeColor="background1"/>
        <w14:textFill>
          <w14:solidFill>
            <w14:schemeClr w14:val="bg1"/>
          </w14:solidFill>
        </w14:textFill>
      </w:rPr>
      <w:tcPr>
        <w:tcBorders>
          <w:top w:val="single" w:color="auto" w:sz="18" w:space="0"/>
          <w:left w:val="nil"/>
          <w:bottom w:val="single" w:color="auto" w:sz="18" w:space="0"/>
          <w:right w:val="nil"/>
          <w:insideH w:val="nil"/>
          <w:insideV w:val="nil"/>
        </w:tcBorders>
        <w:shd w:val="clear" w:color="auto" w:fill="F79646" w:themeFill="accent6"/>
      </w:tcPr>
    </w:tblStylePr>
    <w:tblStylePr w:type="lastRow">
      <w:pPr>
        <w:spacing w:before="0" w:after="0" w:line="240" w:lineRule="auto"/>
      </w:pPr>
      <w:rPr>
        <w:color w:val="auto"/>
      </w:r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cPr>
        <w:tcBorders>
          <w:top w:val="nil"/>
          <w:left w:val="nil"/>
          <w:bottom w:val="single" w:color="auto" w:sz="18" w:space="0"/>
          <w:right w:val="nil"/>
          <w:insideH w:val="nil"/>
          <w:insideV w:val="nil"/>
        </w:tcBorders>
        <w:shd w:val="clear" w:color="auto" w:fill="F79646" w:themeFill="accent6"/>
      </w:tcPr>
    </w:tblStylePr>
    <w:tblStylePr w:type="lastCol">
      <w:rPr>
        <w:b/>
        <w:bCs/>
        <w:color w:val="FFFFFF" w:themeColor="background1"/>
        <w14:textFill>
          <w14:solidFill>
            <w14:schemeClr w14:val="bg1"/>
          </w14:solidFill>
        </w14:textFill>
      </w:rPr>
      <w:tcPr>
        <w:tcBorders>
          <w:left w:val="nil"/>
          <w:right w:val="nil"/>
          <w:insideH w:val="nil"/>
          <w:insideV w:val="nil"/>
        </w:tcBorders>
        <w:shd w:val="clear" w:color="auto" w:fill="F79646" w:themeFill="accent6"/>
      </w:tcPr>
    </w:tblStylePr>
    <w:tblStylePr w:type="band1Vert">
      <w:tcPr>
        <w:tcBorders>
          <w:left w:val="nil"/>
          <w:right w:val="nil"/>
          <w:insideH w:val="nil"/>
          <w:insideV w:val="nil"/>
        </w:tcBorders>
        <w:shd w:val="clear" w:color="auto" w:fill="D7D7D7" w:themeFill="background1" w:themeFillShade="D8"/>
      </w:tcPr>
    </w:tblStylePr>
    <w:tblStylePr w:type="band1Horz">
      <w:tcPr>
        <w:shd w:val="clear" w:color="auto" w:fill="D7D7D7" w:themeFill="background1" w:themeFillShade="D8"/>
      </w:tcPr>
    </w:tblStylePr>
    <w:tblStylePr w:type="neCell">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cPr>
        <w:tcBorders>
          <w:top w:val="single" w:color="auto" w:sz="18" w:space="0"/>
          <w:left w:val="nil"/>
          <w:bottom w:val="single" w:color="auto" w:sz="18" w:space="0"/>
          <w:right w:val="nil"/>
          <w:insideH w:val="nil"/>
          <w:insideV w:val="nil"/>
        </w:tcBorders>
      </w:tcPr>
    </w:tblStylePr>
  </w:style>
  <w:style w:type="table" w:styleId="101">
    <w:name w:val="Medium List 1"/>
    <w:basedOn w:val="12"/>
    <w:uiPriority w:val="65"/>
    <w:pPr>
      <w:spacing w:after="0" w:line="240" w:lineRule="auto"/>
    </w:pPr>
    <w:rPr>
      <w:color w:val="000000" w:themeColor="text1"/>
      <w14:textFill>
        <w14:solidFill>
          <w14:schemeClr w14:val="tx1"/>
        </w14:solidFill>
      </w14:textFill>
    </w:rPr>
    <w:tblPr>
      <w:tblBorders>
        <w:top w:val="single" w:color="000000" w:themeColor="text1" w:sz="8" w:space="0"/>
        <w:bottom w:val="single" w:color="000000" w:themeColor="text1" w:sz="8" w:space="0"/>
      </w:tblBorders>
    </w:tblPr>
    <w:tblStylePr w:type="firstRow">
      <w:rPr>
        <w:rFonts w:asciiTheme="majorHAnsi" w:hAnsiTheme="majorHAnsi" w:eastAsiaTheme="majorEastAsia" w:cstheme="majorBidi"/>
      </w:rPr>
      <w:tcPr>
        <w:tcBorders>
          <w:top w:val="nil"/>
          <w:bottom w:val="single" w:color="000000" w:themeColor="text1" w:sz="8" w:space="0"/>
        </w:tcBorders>
      </w:tcPr>
    </w:tblStylePr>
    <w:tblStylePr w:type="lastRow">
      <w:rPr>
        <w:b/>
        <w:bCs/>
        <w:color w:val="1F497D" w:themeColor="text2"/>
        <w14:textFill>
          <w14:solidFill>
            <w14:schemeClr w14:val="tx2"/>
          </w14:solidFill>
        </w14:textFill>
      </w:rPr>
      <w:tcPr>
        <w:tcBorders>
          <w:top w:val="single" w:color="000000" w:themeColor="text1" w:sz="8" w:space="0"/>
          <w:bottom w:val="single" w:color="000000" w:themeColor="text1" w:sz="8" w:space="0"/>
        </w:tcBorders>
      </w:tcPr>
    </w:tblStylePr>
    <w:tblStylePr w:type="firstCol">
      <w:rPr>
        <w:b/>
        <w:bCs/>
      </w:rPr>
    </w:tblStylePr>
    <w:tblStylePr w:type="lastCol">
      <w:rPr>
        <w:b/>
        <w:bCs/>
      </w:rPr>
      <w:tcPr>
        <w:tcBorders>
          <w:top w:val="single" w:color="000000" w:themeColor="text1" w:sz="8" w:space="0"/>
          <w:bottom w:val="single" w:color="000000" w:themeColor="text1" w:sz="8" w:space="0"/>
        </w:tcBorders>
      </w:tcPr>
    </w:tblStylePr>
    <w:tblStylePr w:type="band1Vert">
      <w:tcPr>
        <w:shd w:val="clear" w:color="auto" w:fill="BFBFBF" w:themeFill="text1" w:themeFillTint="3F"/>
      </w:tcPr>
    </w:tblStylePr>
    <w:tblStylePr w:type="band1Horz">
      <w:tcPr>
        <w:shd w:val="clear" w:color="auto" w:fill="BFBFBF" w:themeFill="text1" w:themeFillTint="3F"/>
      </w:tcPr>
    </w:tblStylePr>
  </w:style>
  <w:style w:type="table" w:styleId="102">
    <w:name w:val="Medium List 1 Accent 1"/>
    <w:basedOn w:val="12"/>
    <w:uiPriority w:val="65"/>
    <w:pPr>
      <w:spacing w:after="0" w:line="240" w:lineRule="auto"/>
    </w:pPr>
    <w:rPr>
      <w:color w:val="000000" w:themeColor="text1"/>
      <w14:textFill>
        <w14:solidFill>
          <w14:schemeClr w14:val="tx1"/>
        </w14:solidFill>
      </w14:textFill>
    </w:rPr>
    <w:tblPr>
      <w:tblBorders>
        <w:top w:val="single" w:color="4F81BD" w:themeColor="accent1" w:sz="8" w:space="0"/>
        <w:bottom w:val="single" w:color="4F81BD" w:themeColor="accent1" w:sz="8" w:space="0"/>
      </w:tblBorders>
    </w:tblPr>
    <w:tblStylePr w:type="firstRow">
      <w:rPr>
        <w:rFonts w:asciiTheme="majorHAnsi" w:hAnsiTheme="majorHAnsi" w:eastAsiaTheme="majorEastAsia" w:cstheme="majorBidi"/>
      </w:rPr>
      <w:tcPr>
        <w:tcBorders>
          <w:top w:val="nil"/>
          <w:bottom w:val="single" w:color="4F81BD" w:themeColor="accent1" w:sz="8" w:space="0"/>
        </w:tcBorders>
      </w:tcPr>
    </w:tblStylePr>
    <w:tblStylePr w:type="lastRow">
      <w:rPr>
        <w:b/>
        <w:bCs/>
        <w:color w:val="1F497D" w:themeColor="text2"/>
        <w14:textFill>
          <w14:solidFill>
            <w14:schemeClr w14:val="tx2"/>
          </w14:solidFill>
        </w14:textFill>
      </w:rPr>
      <w:tcPr>
        <w:tcBorders>
          <w:top w:val="single" w:color="4F81BD" w:themeColor="accent1" w:sz="8" w:space="0"/>
          <w:bottom w:val="single" w:color="4F81BD" w:themeColor="accent1" w:sz="8" w:space="0"/>
        </w:tcBorders>
      </w:tcPr>
    </w:tblStylePr>
    <w:tblStylePr w:type="firstCol">
      <w:rPr>
        <w:b/>
        <w:bCs/>
      </w:rPr>
    </w:tblStylePr>
    <w:tblStylePr w:type="lastCol">
      <w:rPr>
        <w:b/>
        <w:bCs/>
      </w:rPr>
      <w:tcPr>
        <w:tcBorders>
          <w:top w:val="single" w:color="4F81BD" w:themeColor="accent1" w:sz="8" w:space="0"/>
          <w:bottom w:val="single" w:color="4F81BD" w:themeColor="accent1" w:sz="8" w:space="0"/>
        </w:tcBorders>
      </w:tcPr>
    </w:tblStylePr>
    <w:tblStylePr w:type="band1Vert">
      <w:tcPr>
        <w:shd w:val="clear" w:color="auto" w:fill="D3DFEE" w:themeFill="accent1" w:themeFillTint="3F"/>
      </w:tcPr>
    </w:tblStylePr>
    <w:tblStylePr w:type="band1Horz">
      <w:tcPr>
        <w:shd w:val="clear" w:color="auto" w:fill="D3DFEE" w:themeFill="accent1" w:themeFillTint="3F"/>
      </w:tcPr>
    </w:tblStylePr>
  </w:style>
  <w:style w:type="table" w:styleId="103">
    <w:name w:val="Medium List 1 Accent 2"/>
    <w:basedOn w:val="12"/>
    <w:uiPriority w:val="65"/>
    <w:pPr>
      <w:spacing w:after="0" w:line="240" w:lineRule="auto"/>
    </w:pPr>
    <w:rPr>
      <w:color w:val="000000" w:themeColor="text1"/>
      <w14:textFill>
        <w14:solidFill>
          <w14:schemeClr w14:val="tx1"/>
        </w14:solidFill>
      </w14:textFill>
    </w:rPr>
    <w:tblPr>
      <w:tblBorders>
        <w:top w:val="single" w:color="C0504D" w:themeColor="accent2" w:sz="8" w:space="0"/>
        <w:bottom w:val="single" w:color="C0504D" w:themeColor="accent2" w:sz="8" w:space="0"/>
      </w:tblBorders>
    </w:tblPr>
    <w:tblStylePr w:type="firstRow">
      <w:rPr>
        <w:rFonts w:asciiTheme="majorHAnsi" w:hAnsiTheme="majorHAnsi" w:eastAsiaTheme="majorEastAsia" w:cstheme="majorBidi"/>
      </w:rPr>
      <w:tcPr>
        <w:tcBorders>
          <w:top w:val="nil"/>
          <w:bottom w:val="single" w:color="C0504D" w:themeColor="accent2" w:sz="8" w:space="0"/>
        </w:tcBorders>
      </w:tcPr>
    </w:tblStylePr>
    <w:tblStylePr w:type="lastRow">
      <w:rPr>
        <w:b/>
        <w:bCs/>
        <w:color w:val="1F497D" w:themeColor="text2"/>
        <w14:textFill>
          <w14:solidFill>
            <w14:schemeClr w14:val="tx2"/>
          </w14:solidFill>
        </w14:textFill>
      </w:rPr>
      <w:tcPr>
        <w:tcBorders>
          <w:top w:val="single" w:color="C0504D" w:themeColor="accent2" w:sz="8" w:space="0"/>
          <w:bottom w:val="single" w:color="C0504D" w:themeColor="accent2" w:sz="8" w:space="0"/>
        </w:tcBorders>
      </w:tcPr>
    </w:tblStylePr>
    <w:tblStylePr w:type="firstCol">
      <w:rPr>
        <w:b/>
        <w:bCs/>
      </w:rPr>
    </w:tblStylePr>
    <w:tblStylePr w:type="lastCol">
      <w:rPr>
        <w:b/>
        <w:bCs/>
      </w:rPr>
      <w:tcPr>
        <w:tcBorders>
          <w:top w:val="single" w:color="C0504D" w:themeColor="accent2" w:sz="8" w:space="0"/>
          <w:bottom w:val="single" w:color="C0504D" w:themeColor="accent2" w:sz="8" w:space="0"/>
        </w:tcBorders>
      </w:tcPr>
    </w:tblStylePr>
    <w:tblStylePr w:type="band1Vert">
      <w:tcPr>
        <w:shd w:val="clear" w:color="auto" w:fill="EFD3D3" w:themeFill="accent2" w:themeFillTint="3F"/>
      </w:tcPr>
    </w:tblStylePr>
    <w:tblStylePr w:type="band1Horz">
      <w:tcPr>
        <w:shd w:val="clear" w:color="auto" w:fill="EFD3D3" w:themeFill="accent2" w:themeFillTint="3F"/>
      </w:tcPr>
    </w:tblStylePr>
  </w:style>
  <w:style w:type="table" w:styleId="104">
    <w:name w:val="Medium List 1 Accent 3"/>
    <w:basedOn w:val="12"/>
    <w:uiPriority w:val="65"/>
    <w:pPr>
      <w:spacing w:after="0" w:line="240" w:lineRule="auto"/>
    </w:pPr>
    <w:rPr>
      <w:color w:val="000000" w:themeColor="text1"/>
      <w14:textFill>
        <w14:solidFill>
          <w14:schemeClr w14:val="tx1"/>
        </w14:solidFill>
      </w14:textFill>
    </w:rPr>
    <w:tblPr>
      <w:tblBorders>
        <w:top w:val="single" w:color="9BBB59" w:themeColor="accent3" w:sz="8" w:space="0"/>
        <w:bottom w:val="single" w:color="9BBB59" w:themeColor="accent3" w:sz="8" w:space="0"/>
      </w:tblBorders>
    </w:tblPr>
    <w:tblStylePr w:type="firstRow">
      <w:rPr>
        <w:rFonts w:asciiTheme="majorHAnsi" w:hAnsiTheme="majorHAnsi" w:eastAsiaTheme="majorEastAsia" w:cstheme="majorBidi"/>
      </w:rPr>
      <w:tcPr>
        <w:tcBorders>
          <w:top w:val="nil"/>
          <w:bottom w:val="single" w:color="9BBB59" w:themeColor="accent3" w:sz="8" w:space="0"/>
        </w:tcBorders>
      </w:tcPr>
    </w:tblStylePr>
    <w:tblStylePr w:type="lastRow">
      <w:rPr>
        <w:b/>
        <w:bCs/>
        <w:color w:val="1F497D" w:themeColor="text2"/>
        <w14:textFill>
          <w14:solidFill>
            <w14:schemeClr w14:val="tx2"/>
          </w14:solidFill>
        </w14:textFill>
      </w:rPr>
      <w:tcPr>
        <w:tcBorders>
          <w:top w:val="single" w:color="9BBB59" w:themeColor="accent3" w:sz="8" w:space="0"/>
          <w:bottom w:val="single" w:color="9BBB59" w:themeColor="accent3" w:sz="8" w:space="0"/>
        </w:tcBorders>
      </w:tcPr>
    </w:tblStylePr>
    <w:tblStylePr w:type="firstCol">
      <w:rPr>
        <w:b/>
        <w:bCs/>
      </w:rPr>
    </w:tblStylePr>
    <w:tblStylePr w:type="lastCol">
      <w:rPr>
        <w:b/>
        <w:bCs/>
      </w:rPr>
      <w:tcPr>
        <w:tcBorders>
          <w:top w:val="single" w:color="9BBB59" w:themeColor="accent3" w:sz="8" w:space="0"/>
          <w:bottom w:val="single" w:color="9BBB59" w:themeColor="accent3" w:sz="8" w:space="0"/>
        </w:tcBorders>
      </w:tcPr>
    </w:tblStylePr>
    <w:tblStylePr w:type="band1Vert">
      <w:tcPr>
        <w:shd w:val="clear" w:color="auto" w:fill="E6EED5" w:themeFill="accent3" w:themeFillTint="3F"/>
      </w:tcPr>
    </w:tblStylePr>
    <w:tblStylePr w:type="band1Horz">
      <w:tcPr>
        <w:shd w:val="clear" w:color="auto" w:fill="E6EED5" w:themeFill="accent3" w:themeFillTint="3F"/>
      </w:tcPr>
    </w:tblStylePr>
  </w:style>
  <w:style w:type="table" w:styleId="105">
    <w:name w:val="Medium List 1 Accent 4"/>
    <w:basedOn w:val="12"/>
    <w:uiPriority w:val="65"/>
    <w:pPr>
      <w:spacing w:after="0" w:line="240" w:lineRule="auto"/>
    </w:pPr>
    <w:rPr>
      <w:color w:val="000000" w:themeColor="text1"/>
      <w14:textFill>
        <w14:solidFill>
          <w14:schemeClr w14:val="tx1"/>
        </w14:solidFill>
      </w14:textFill>
    </w:rPr>
    <w:tblPr>
      <w:tblBorders>
        <w:top w:val="single" w:color="8064A2" w:themeColor="accent4" w:sz="8" w:space="0"/>
        <w:bottom w:val="single" w:color="8064A2" w:themeColor="accent4" w:sz="8" w:space="0"/>
      </w:tblBorders>
    </w:tblPr>
    <w:tblStylePr w:type="firstRow">
      <w:rPr>
        <w:rFonts w:asciiTheme="majorHAnsi" w:hAnsiTheme="majorHAnsi" w:eastAsiaTheme="majorEastAsia" w:cstheme="majorBidi"/>
      </w:rPr>
      <w:tcPr>
        <w:tcBorders>
          <w:top w:val="nil"/>
          <w:bottom w:val="single" w:color="8064A2" w:themeColor="accent4" w:sz="8" w:space="0"/>
        </w:tcBorders>
      </w:tcPr>
    </w:tblStylePr>
    <w:tblStylePr w:type="lastRow">
      <w:rPr>
        <w:b/>
        <w:bCs/>
        <w:color w:val="1F497D" w:themeColor="text2"/>
        <w14:textFill>
          <w14:solidFill>
            <w14:schemeClr w14:val="tx2"/>
          </w14:solidFill>
        </w14:textFill>
      </w:rPr>
      <w:tcPr>
        <w:tcBorders>
          <w:top w:val="single" w:color="8064A2" w:themeColor="accent4" w:sz="8" w:space="0"/>
          <w:bottom w:val="single" w:color="8064A2" w:themeColor="accent4" w:sz="8" w:space="0"/>
        </w:tcBorders>
      </w:tcPr>
    </w:tblStylePr>
    <w:tblStylePr w:type="firstCol">
      <w:rPr>
        <w:b/>
        <w:bCs/>
      </w:rPr>
    </w:tblStylePr>
    <w:tblStylePr w:type="lastCol">
      <w:rPr>
        <w:b/>
        <w:bCs/>
      </w:rPr>
      <w:tcPr>
        <w:tcBorders>
          <w:top w:val="single" w:color="8064A2" w:themeColor="accent4" w:sz="8" w:space="0"/>
          <w:bottom w:val="single" w:color="8064A2" w:themeColor="accent4" w:sz="8" w:space="0"/>
        </w:tcBorders>
      </w:tcPr>
    </w:tblStylePr>
    <w:tblStylePr w:type="band1Vert">
      <w:tcPr>
        <w:shd w:val="clear" w:color="auto" w:fill="DFD8E8" w:themeFill="accent4" w:themeFillTint="3F"/>
      </w:tcPr>
    </w:tblStylePr>
    <w:tblStylePr w:type="band1Horz">
      <w:tcPr>
        <w:shd w:val="clear" w:color="auto" w:fill="DFD8E8" w:themeFill="accent4" w:themeFillTint="3F"/>
      </w:tcPr>
    </w:tblStylePr>
  </w:style>
  <w:style w:type="table" w:styleId="106">
    <w:name w:val="Medium List 1 Accent 5"/>
    <w:basedOn w:val="12"/>
    <w:uiPriority w:val="65"/>
    <w:pPr>
      <w:spacing w:after="0" w:line="240" w:lineRule="auto"/>
    </w:pPr>
    <w:rPr>
      <w:color w:val="000000" w:themeColor="text1"/>
      <w14:textFill>
        <w14:solidFill>
          <w14:schemeClr w14:val="tx1"/>
        </w14:solidFill>
      </w14:textFill>
    </w:rPr>
    <w:tblPr>
      <w:tblBorders>
        <w:top w:val="single" w:color="4BACC6" w:themeColor="accent5" w:sz="8" w:space="0"/>
        <w:bottom w:val="single" w:color="4BACC6" w:themeColor="accent5" w:sz="8" w:space="0"/>
      </w:tblBorders>
    </w:tblPr>
    <w:tblStylePr w:type="firstRow">
      <w:rPr>
        <w:rFonts w:asciiTheme="majorHAnsi" w:hAnsiTheme="majorHAnsi" w:eastAsiaTheme="majorEastAsia" w:cstheme="majorBidi"/>
      </w:rPr>
      <w:tcPr>
        <w:tcBorders>
          <w:top w:val="nil"/>
          <w:bottom w:val="single" w:color="4BACC6" w:themeColor="accent5" w:sz="8" w:space="0"/>
        </w:tcBorders>
      </w:tcPr>
    </w:tblStylePr>
    <w:tblStylePr w:type="lastRow">
      <w:rPr>
        <w:b/>
        <w:bCs/>
        <w:color w:val="1F497D" w:themeColor="text2"/>
        <w14:textFill>
          <w14:solidFill>
            <w14:schemeClr w14:val="tx2"/>
          </w14:solidFill>
        </w14:textFill>
      </w:rPr>
      <w:tcPr>
        <w:tcBorders>
          <w:top w:val="single" w:color="4BACC6" w:themeColor="accent5" w:sz="8" w:space="0"/>
          <w:bottom w:val="single" w:color="4BACC6" w:themeColor="accent5" w:sz="8" w:space="0"/>
        </w:tcBorders>
      </w:tcPr>
    </w:tblStylePr>
    <w:tblStylePr w:type="firstCol">
      <w:rPr>
        <w:b/>
        <w:bCs/>
      </w:rPr>
    </w:tblStylePr>
    <w:tblStylePr w:type="lastCol">
      <w:rPr>
        <w:b/>
        <w:bCs/>
      </w:rPr>
      <w:tcPr>
        <w:tcBorders>
          <w:top w:val="single" w:color="4BACC6" w:themeColor="accent5" w:sz="8" w:space="0"/>
          <w:bottom w:val="single" w:color="4BACC6" w:themeColor="accent5" w:sz="8" w:space="0"/>
        </w:tcBorders>
      </w:tcPr>
    </w:tblStylePr>
    <w:tblStylePr w:type="band1Vert">
      <w:tcPr>
        <w:shd w:val="clear" w:color="auto" w:fill="D2EAF0" w:themeFill="accent5" w:themeFillTint="3F"/>
      </w:tcPr>
    </w:tblStylePr>
    <w:tblStylePr w:type="band1Horz">
      <w:tcPr>
        <w:shd w:val="clear" w:color="auto" w:fill="D2EAF0" w:themeFill="accent5" w:themeFillTint="3F"/>
      </w:tcPr>
    </w:tblStylePr>
  </w:style>
  <w:style w:type="table" w:styleId="107">
    <w:name w:val="Medium List 1 Accent 6"/>
    <w:basedOn w:val="12"/>
    <w:uiPriority w:val="65"/>
    <w:pPr>
      <w:spacing w:after="0" w:line="240" w:lineRule="auto"/>
    </w:pPr>
    <w:rPr>
      <w:color w:val="000000" w:themeColor="text1"/>
      <w14:textFill>
        <w14:solidFill>
          <w14:schemeClr w14:val="tx1"/>
        </w14:solidFill>
      </w14:textFill>
    </w:rPr>
    <w:tblPr>
      <w:tblBorders>
        <w:top w:val="single" w:color="F79646" w:themeColor="accent6" w:sz="8" w:space="0"/>
        <w:bottom w:val="single" w:color="F79646" w:themeColor="accent6" w:sz="8" w:space="0"/>
      </w:tblBorders>
    </w:tblPr>
    <w:tblStylePr w:type="firstRow">
      <w:rPr>
        <w:rFonts w:asciiTheme="majorHAnsi" w:hAnsiTheme="majorHAnsi" w:eastAsiaTheme="majorEastAsia" w:cstheme="majorBidi"/>
      </w:rPr>
      <w:tcPr>
        <w:tcBorders>
          <w:top w:val="nil"/>
          <w:bottom w:val="single" w:color="F79646" w:themeColor="accent6" w:sz="8" w:space="0"/>
        </w:tcBorders>
      </w:tcPr>
    </w:tblStylePr>
    <w:tblStylePr w:type="lastRow">
      <w:rPr>
        <w:b/>
        <w:bCs/>
        <w:color w:val="1F497D" w:themeColor="text2"/>
        <w14:textFill>
          <w14:solidFill>
            <w14:schemeClr w14:val="tx2"/>
          </w14:solidFill>
        </w14:textFill>
      </w:rPr>
      <w:tcPr>
        <w:tcBorders>
          <w:top w:val="single" w:color="F79646" w:themeColor="accent6" w:sz="8" w:space="0"/>
          <w:bottom w:val="single" w:color="F79646" w:themeColor="accent6" w:sz="8" w:space="0"/>
        </w:tcBorders>
      </w:tcPr>
    </w:tblStylePr>
    <w:tblStylePr w:type="firstCol">
      <w:rPr>
        <w:b/>
        <w:bCs/>
      </w:rPr>
    </w:tblStylePr>
    <w:tblStylePr w:type="lastCol">
      <w:rPr>
        <w:b/>
        <w:bCs/>
      </w:rPr>
      <w:tcPr>
        <w:tcBorders>
          <w:top w:val="single" w:color="F79646" w:themeColor="accent6" w:sz="8" w:space="0"/>
          <w:bottom w:val="single" w:color="F79646" w:themeColor="accent6" w:sz="8" w:space="0"/>
        </w:tcBorders>
      </w:tcPr>
    </w:tblStylePr>
    <w:tblStylePr w:type="band1Vert">
      <w:tcPr>
        <w:shd w:val="clear" w:color="auto" w:fill="FDE5D1" w:themeFill="accent6" w:themeFillTint="3F"/>
      </w:tcPr>
    </w:tblStylePr>
    <w:tblStylePr w:type="band1Horz">
      <w:tcPr>
        <w:shd w:val="clear" w:color="auto" w:fill="FDE5D1" w:themeFill="accent6" w:themeFillTint="3F"/>
      </w:tcPr>
    </w:tblStylePr>
  </w:style>
  <w:style w:type="table" w:styleId="108">
    <w:name w:val="Medium List 2"/>
    <w:basedOn w:val="12"/>
    <w:uiPriority w:val="66"/>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rPr>
        <w:sz w:val="24"/>
        <w:szCs w:val="24"/>
      </w:rPr>
      <w:tcPr>
        <w:tcBorders>
          <w:top w:val="nil"/>
          <w:left w:val="nil"/>
          <w:bottom w:val="single" w:color="000000" w:themeColor="text1" w:sz="24" w:space="0"/>
          <w:right w:val="nil"/>
          <w:insideH w:val="nil"/>
          <w:insideV w:val="nil"/>
        </w:tcBorders>
        <w:shd w:val="clear" w:color="auto" w:fill="FFFFFF" w:themeFill="background1"/>
      </w:tcPr>
    </w:tblStylePr>
    <w:tblStylePr w:type="lastRow">
      <w:tcPr>
        <w:tcBorders>
          <w:top w:val="single" w:color="000000" w:themeColor="text1" w:sz="8" w:space="0"/>
          <w:left w:val="nil"/>
          <w:bottom w:val="nil"/>
          <w:right w:val="nil"/>
          <w:insideH w:val="nil"/>
          <w:insideV w:val="nil"/>
        </w:tcBorders>
        <w:shd w:val="clear" w:color="auto" w:fill="FFFFFF" w:themeFill="background1"/>
      </w:tcPr>
    </w:tblStylePr>
    <w:tblStylePr w:type="firstCol">
      <w:tcPr>
        <w:tcBorders>
          <w:top w:val="nil"/>
          <w:left w:val="nil"/>
          <w:bottom w:val="nil"/>
          <w:right w:val="single" w:color="000000" w:themeColor="text1" w:sz="8" w:space="0"/>
          <w:insideH w:val="nil"/>
          <w:insideV w:val="nil"/>
        </w:tcBorders>
        <w:shd w:val="clear" w:color="auto" w:fill="FFFFFF" w:themeFill="background1"/>
      </w:tcPr>
    </w:tblStylePr>
    <w:tblStylePr w:type="lastCol">
      <w:tcPr>
        <w:tcBorders>
          <w:top w:val="nil"/>
          <w:left w:val="single" w:color="000000" w:themeColor="text1" w:sz="8" w:space="0"/>
          <w:bottom w:val="nil"/>
          <w:right w:val="nil"/>
          <w:insideH w:val="nil"/>
          <w:insideV w:val="nil"/>
        </w:tcBorders>
        <w:shd w:val="clear" w:color="auto" w:fill="FFFFFF" w:themeFill="background1"/>
      </w:tcPr>
    </w:tblStylePr>
    <w:tblStylePr w:type="band1Vert">
      <w:tcPr>
        <w:tcBorders>
          <w:left w:val="nil"/>
          <w:right w:val="nil"/>
          <w:insideH w:val="nil"/>
          <w:insideV w:val="nil"/>
        </w:tcBorders>
        <w:shd w:val="clear" w:color="auto" w:fill="BFBFBF" w:themeFill="text1" w:themeFillTint="3F"/>
      </w:tcPr>
    </w:tblStylePr>
    <w:tblStylePr w:type="band1Horz">
      <w:tcPr>
        <w:tcBorders>
          <w:top w:val="nil"/>
          <w:bottom w:val="nil"/>
          <w:insideH w:val="nil"/>
          <w:insideV w:val="nil"/>
        </w:tcBorders>
        <w:shd w:val="clear" w:color="auto" w:fill="BFBFBF" w:themeFill="text1" w:themeFillTint="3F"/>
      </w:tcPr>
    </w:tblStylePr>
    <w:tblStylePr w:type="nwCell">
      <w:tcPr>
        <w:shd w:val="clear" w:color="auto" w:fill="FFFFFF" w:themeFill="background1"/>
      </w:tcPr>
    </w:tblStylePr>
    <w:tblStylePr w:type="swCell">
      <w:tcPr>
        <w:tcBorders>
          <w:top w:val="nil"/>
        </w:tcBorders>
      </w:tcPr>
    </w:tblStylePr>
  </w:style>
  <w:style w:type="table" w:styleId="109">
    <w:name w:val="Medium List 2 Accent 1"/>
    <w:basedOn w:val="12"/>
    <w:uiPriority w:val="66"/>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rPr>
        <w:sz w:val="24"/>
        <w:szCs w:val="24"/>
      </w:rPr>
      <w:tcPr>
        <w:tcBorders>
          <w:top w:val="nil"/>
          <w:left w:val="nil"/>
          <w:bottom w:val="single" w:color="4F81BD" w:themeColor="accent1" w:sz="24" w:space="0"/>
          <w:right w:val="nil"/>
          <w:insideH w:val="nil"/>
          <w:insideV w:val="nil"/>
        </w:tcBorders>
        <w:shd w:val="clear" w:color="auto" w:fill="FFFFFF" w:themeFill="background1"/>
      </w:tcPr>
    </w:tblStylePr>
    <w:tblStylePr w:type="lastRow">
      <w:tcPr>
        <w:tcBorders>
          <w:top w:val="single" w:color="4F81BD" w:themeColor="accent1" w:sz="8" w:space="0"/>
          <w:left w:val="nil"/>
          <w:bottom w:val="nil"/>
          <w:right w:val="nil"/>
          <w:insideH w:val="nil"/>
          <w:insideV w:val="nil"/>
        </w:tcBorders>
        <w:shd w:val="clear" w:color="auto" w:fill="FFFFFF" w:themeFill="background1"/>
      </w:tcPr>
    </w:tblStylePr>
    <w:tblStylePr w:type="firstCol">
      <w:tcPr>
        <w:tcBorders>
          <w:top w:val="nil"/>
          <w:left w:val="nil"/>
          <w:bottom w:val="nil"/>
          <w:right w:val="single" w:color="4F81BD" w:themeColor="accent1" w:sz="8" w:space="0"/>
          <w:insideH w:val="nil"/>
          <w:insideV w:val="nil"/>
        </w:tcBorders>
        <w:shd w:val="clear" w:color="auto" w:fill="FFFFFF" w:themeFill="background1"/>
      </w:tcPr>
    </w:tblStylePr>
    <w:tblStylePr w:type="lastCol">
      <w:tcPr>
        <w:tcBorders>
          <w:top w:val="nil"/>
          <w:left w:val="single" w:color="4F81BD" w:themeColor="accent1" w:sz="8" w:space="0"/>
          <w:bottom w:val="nil"/>
          <w:right w:val="nil"/>
          <w:insideH w:val="nil"/>
          <w:insideV w:val="nil"/>
        </w:tcBorders>
        <w:shd w:val="clear" w:color="auto" w:fill="FFFFFF" w:themeFill="background1"/>
      </w:tcPr>
    </w:tblStylePr>
    <w:tblStylePr w:type="band1Vert">
      <w:tcPr>
        <w:tcBorders>
          <w:left w:val="nil"/>
          <w:right w:val="nil"/>
          <w:insideH w:val="nil"/>
          <w:insideV w:val="nil"/>
        </w:tcBorders>
        <w:shd w:val="clear" w:color="auto" w:fill="D3DFEE" w:themeFill="accent1" w:themeFillTint="3F"/>
      </w:tcPr>
    </w:tblStylePr>
    <w:tblStylePr w:type="band1Horz">
      <w:tcPr>
        <w:tcBorders>
          <w:top w:val="nil"/>
          <w:bottom w:val="nil"/>
          <w:insideH w:val="nil"/>
          <w:insideV w:val="nil"/>
        </w:tcBorders>
        <w:shd w:val="clear" w:color="auto" w:fill="D3DFEE" w:themeFill="accent1" w:themeFillTint="3F"/>
      </w:tcPr>
    </w:tblStylePr>
    <w:tblStylePr w:type="nwCell">
      <w:tcPr>
        <w:shd w:val="clear" w:color="auto" w:fill="FFFFFF" w:themeFill="background1"/>
      </w:tcPr>
    </w:tblStylePr>
    <w:tblStylePr w:type="swCell">
      <w:tcPr>
        <w:tcBorders>
          <w:top w:val="nil"/>
        </w:tcBorders>
      </w:tcPr>
    </w:tblStylePr>
  </w:style>
  <w:style w:type="table" w:styleId="110">
    <w:name w:val="Medium List 2 Accent 2"/>
    <w:basedOn w:val="12"/>
    <w:uiPriority w:val="66"/>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rPr>
        <w:sz w:val="24"/>
        <w:szCs w:val="24"/>
      </w:rPr>
      <w:tcPr>
        <w:tcBorders>
          <w:top w:val="nil"/>
          <w:left w:val="nil"/>
          <w:bottom w:val="single" w:color="C0504D" w:themeColor="accent2" w:sz="24" w:space="0"/>
          <w:right w:val="nil"/>
          <w:insideH w:val="nil"/>
          <w:insideV w:val="nil"/>
        </w:tcBorders>
        <w:shd w:val="clear" w:color="auto" w:fill="FFFFFF" w:themeFill="background1"/>
      </w:tcPr>
    </w:tblStylePr>
    <w:tblStylePr w:type="lastRow">
      <w:tcPr>
        <w:tcBorders>
          <w:top w:val="single" w:color="C0504D" w:themeColor="accent2" w:sz="8" w:space="0"/>
          <w:left w:val="nil"/>
          <w:bottom w:val="nil"/>
          <w:right w:val="nil"/>
          <w:insideH w:val="nil"/>
          <w:insideV w:val="nil"/>
        </w:tcBorders>
        <w:shd w:val="clear" w:color="auto" w:fill="FFFFFF" w:themeFill="background1"/>
      </w:tcPr>
    </w:tblStylePr>
    <w:tblStylePr w:type="firstCol">
      <w:tcPr>
        <w:tcBorders>
          <w:top w:val="nil"/>
          <w:left w:val="nil"/>
          <w:bottom w:val="nil"/>
          <w:right w:val="single" w:color="C0504D" w:themeColor="accent2" w:sz="8" w:space="0"/>
          <w:insideH w:val="nil"/>
          <w:insideV w:val="nil"/>
        </w:tcBorders>
        <w:shd w:val="clear" w:color="auto" w:fill="FFFFFF" w:themeFill="background1"/>
      </w:tcPr>
    </w:tblStylePr>
    <w:tblStylePr w:type="lastCol">
      <w:tcPr>
        <w:tcBorders>
          <w:top w:val="nil"/>
          <w:left w:val="single" w:color="C0504D" w:themeColor="accent2" w:sz="8" w:space="0"/>
          <w:bottom w:val="nil"/>
          <w:right w:val="nil"/>
          <w:insideH w:val="nil"/>
          <w:insideV w:val="nil"/>
        </w:tcBorders>
        <w:shd w:val="clear" w:color="auto" w:fill="FFFFFF" w:themeFill="background1"/>
      </w:tcPr>
    </w:tblStylePr>
    <w:tblStylePr w:type="band1Vert">
      <w:tcPr>
        <w:tcBorders>
          <w:left w:val="nil"/>
          <w:right w:val="nil"/>
          <w:insideH w:val="nil"/>
          <w:insideV w:val="nil"/>
        </w:tcBorders>
        <w:shd w:val="clear" w:color="auto" w:fill="EFD3D3" w:themeFill="accent2" w:themeFillTint="3F"/>
      </w:tcPr>
    </w:tblStylePr>
    <w:tblStylePr w:type="band1Horz">
      <w:tcPr>
        <w:tcBorders>
          <w:top w:val="nil"/>
          <w:bottom w:val="nil"/>
          <w:insideH w:val="nil"/>
          <w:insideV w:val="nil"/>
        </w:tcBorders>
        <w:shd w:val="clear" w:color="auto" w:fill="EFD3D3" w:themeFill="accent2" w:themeFillTint="3F"/>
      </w:tcPr>
    </w:tblStylePr>
    <w:tblStylePr w:type="nwCell">
      <w:tcPr>
        <w:shd w:val="clear" w:color="auto" w:fill="FFFFFF" w:themeFill="background1"/>
      </w:tcPr>
    </w:tblStylePr>
    <w:tblStylePr w:type="swCell">
      <w:tcPr>
        <w:tcBorders>
          <w:top w:val="nil"/>
        </w:tcBorders>
      </w:tcPr>
    </w:tblStylePr>
  </w:style>
  <w:style w:type="table" w:styleId="111">
    <w:name w:val="Medium List 2 Accent 3"/>
    <w:basedOn w:val="12"/>
    <w:uiPriority w:val="66"/>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rPr>
        <w:sz w:val="24"/>
        <w:szCs w:val="24"/>
      </w:rPr>
      <w:tcPr>
        <w:tcBorders>
          <w:top w:val="nil"/>
          <w:left w:val="nil"/>
          <w:bottom w:val="single" w:color="9BBB59" w:themeColor="accent3" w:sz="24" w:space="0"/>
          <w:right w:val="nil"/>
          <w:insideH w:val="nil"/>
          <w:insideV w:val="nil"/>
        </w:tcBorders>
        <w:shd w:val="clear" w:color="auto" w:fill="FFFFFF" w:themeFill="background1"/>
      </w:tcPr>
    </w:tblStylePr>
    <w:tblStylePr w:type="lastRow">
      <w:tcPr>
        <w:tcBorders>
          <w:top w:val="single" w:color="9BBB59" w:themeColor="accent3" w:sz="8" w:space="0"/>
          <w:left w:val="nil"/>
          <w:bottom w:val="nil"/>
          <w:right w:val="nil"/>
          <w:insideH w:val="nil"/>
          <w:insideV w:val="nil"/>
        </w:tcBorders>
        <w:shd w:val="clear" w:color="auto" w:fill="FFFFFF" w:themeFill="background1"/>
      </w:tcPr>
    </w:tblStylePr>
    <w:tblStylePr w:type="firstCol">
      <w:tcPr>
        <w:tcBorders>
          <w:top w:val="nil"/>
          <w:left w:val="nil"/>
          <w:bottom w:val="nil"/>
          <w:right w:val="single" w:color="9BBB59" w:themeColor="accent3" w:sz="8" w:space="0"/>
          <w:insideH w:val="nil"/>
          <w:insideV w:val="nil"/>
        </w:tcBorders>
        <w:shd w:val="clear" w:color="auto" w:fill="FFFFFF" w:themeFill="background1"/>
      </w:tcPr>
    </w:tblStylePr>
    <w:tblStylePr w:type="lastCol">
      <w:tcPr>
        <w:tcBorders>
          <w:top w:val="nil"/>
          <w:left w:val="single" w:color="9BBB59" w:themeColor="accent3" w:sz="8" w:space="0"/>
          <w:bottom w:val="nil"/>
          <w:right w:val="nil"/>
          <w:insideH w:val="nil"/>
          <w:insideV w:val="nil"/>
        </w:tcBorders>
        <w:shd w:val="clear" w:color="auto" w:fill="FFFFFF" w:themeFill="background1"/>
      </w:tcPr>
    </w:tblStylePr>
    <w:tblStylePr w:type="band1Vert">
      <w:tcPr>
        <w:tcBorders>
          <w:left w:val="nil"/>
          <w:right w:val="nil"/>
          <w:insideH w:val="nil"/>
          <w:insideV w:val="nil"/>
        </w:tcBorders>
        <w:shd w:val="clear" w:color="auto" w:fill="E6EED5" w:themeFill="accent3" w:themeFillTint="3F"/>
      </w:tcPr>
    </w:tblStylePr>
    <w:tblStylePr w:type="band1Horz">
      <w:tcPr>
        <w:tcBorders>
          <w:top w:val="nil"/>
          <w:bottom w:val="nil"/>
          <w:insideH w:val="nil"/>
          <w:insideV w:val="nil"/>
        </w:tcBorders>
        <w:shd w:val="clear" w:color="auto" w:fill="E6EED5" w:themeFill="accent3" w:themeFillTint="3F"/>
      </w:tcPr>
    </w:tblStylePr>
    <w:tblStylePr w:type="nwCell">
      <w:tcPr>
        <w:shd w:val="clear" w:color="auto" w:fill="FFFFFF" w:themeFill="background1"/>
      </w:tcPr>
    </w:tblStylePr>
    <w:tblStylePr w:type="swCell">
      <w:tcPr>
        <w:tcBorders>
          <w:top w:val="nil"/>
        </w:tcBorders>
      </w:tcPr>
    </w:tblStylePr>
  </w:style>
  <w:style w:type="table" w:styleId="112">
    <w:name w:val="Medium List 2 Accent 4"/>
    <w:basedOn w:val="12"/>
    <w:uiPriority w:val="66"/>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rPr>
        <w:sz w:val="24"/>
        <w:szCs w:val="24"/>
      </w:rPr>
      <w:tcPr>
        <w:tcBorders>
          <w:top w:val="nil"/>
          <w:left w:val="nil"/>
          <w:bottom w:val="single" w:color="8064A2" w:themeColor="accent4" w:sz="24" w:space="0"/>
          <w:right w:val="nil"/>
          <w:insideH w:val="nil"/>
          <w:insideV w:val="nil"/>
        </w:tcBorders>
        <w:shd w:val="clear" w:color="auto" w:fill="FFFFFF" w:themeFill="background1"/>
      </w:tcPr>
    </w:tblStylePr>
    <w:tblStylePr w:type="lastRow">
      <w:tcPr>
        <w:tcBorders>
          <w:top w:val="single" w:color="8064A2" w:themeColor="accent4" w:sz="8" w:space="0"/>
          <w:left w:val="nil"/>
          <w:bottom w:val="nil"/>
          <w:right w:val="nil"/>
          <w:insideH w:val="nil"/>
          <w:insideV w:val="nil"/>
        </w:tcBorders>
        <w:shd w:val="clear" w:color="auto" w:fill="FFFFFF" w:themeFill="background1"/>
      </w:tcPr>
    </w:tblStylePr>
    <w:tblStylePr w:type="firstCol">
      <w:tcPr>
        <w:tcBorders>
          <w:top w:val="nil"/>
          <w:left w:val="nil"/>
          <w:bottom w:val="nil"/>
          <w:right w:val="single" w:color="8064A2" w:themeColor="accent4" w:sz="8" w:space="0"/>
          <w:insideH w:val="nil"/>
          <w:insideV w:val="nil"/>
        </w:tcBorders>
        <w:shd w:val="clear" w:color="auto" w:fill="FFFFFF" w:themeFill="background1"/>
      </w:tcPr>
    </w:tblStylePr>
    <w:tblStylePr w:type="lastCol">
      <w:tcPr>
        <w:tcBorders>
          <w:top w:val="nil"/>
          <w:left w:val="single" w:color="8064A2" w:themeColor="accent4" w:sz="8" w:space="0"/>
          <w:bottom w:val="nil"/>
          <w:right w:val="nil"/>
          <w:insideH w:val="nil"/>
          <w:insideV w:val="nil"/>
        </w:tcBorders>
        <w:shd w:val="clear" w:color="auto" w:fill="FFFFFF" w:themeFill="background1"/>
      </w:tcPr>
    </w:tblStylePr>
    <w:tblStylePr w:type="band1Vert">
      <w:tcPr>
        <w:tcBorders>
          <w:left w:val="nil"/>
          <w:right w:val="nil"/>
          <w:insideH w:val="nil"/>
          <w:insideV w:val="nil"/>
        </w:tcBorders>
        <w:shd w:val="clear" w:color="auto" w:fill="DFD8E8" w:themeFill="accent4" w:themeFillTint="3F"/>
      </w:tcPr>
    </w:tblStylePr>
    <w:tblStylePr w:type="band1Horz">
      <w:tcPr>
        <w:tcBorders>
          <w:top w:val="nil"/>
          <w:bottom w:val="nil"/>
          <w:insideH w:val="nil"/>
          <w:insideV w:val="nil"/>
        </w:tcBorders>
        <w:shd w:val="clear" w:color="auto" w:fill="DFD8E8" w:themeFill="accent4" w:themeFillTint="3F"/>
      </w:tcPr>
    </w:tblStylePr>
    <w:tblStylePr w:type="nwCell">
      <w:tcPr>
        <w:shd w:val="clear" w:color="auto" w:fill="FFFFFF" w:themeFill="background1"/>
      </w:tcPr>
    </w:tblStylePr>
    <w:tblStylePr w:type="swCell">
      <w:tcPr>
        <w:tcBorders>
          <w:top w:val="nil"/>
        </w:tcBorders>
      </w:tcPr>
    </w:tblStylePr>
  </w:style>
  <w:style w:type="table" w:styleId="113">
    <w:name w:val="Medium List 2 Accent 5"/>
    <w:basedOn w:val="12"/>
    <w:uiPriority w:val="66"/>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rPr>
        <w:sz w:val="24"/>
        <w:szCs w:val="24"/>
      </w:rPr>
      <w:tcPr>
        <w:tcBorders>
          <w:top w:val="nil"/>
          <w:left w:val="nil"/>
          <w:bottom w:val="single" w:color="4BACC6" w:themeColor="accent5" w:sz="24" w:space="0"/>
          <w:right w:val="nil"/>
          <w:insideH w:val="nil"/>
          <w:insideV w:val="nil"/>
        </w:tcBorders>
        <w:shd w:val="clear" w:color="auto" w:fill="FFFFFF" w:themeFill="background1"/>
      </w:tcPr>
    </w:tblStylePr>
    <w:tblStylePr w:type="lastRow">
      <w:tcPr>
        <w:tcBorders>
          <w:top w:val="single" w:color="4BACC6" w:themeColor="accent5" w:sz="8" w:space="0"/>
          <w:left w:val="nil"/>
          <w:bottom w:val="nil"/>
          <w:right w:val="nil"/>
          <w:insideH w:val="nil"/>
          <w:insideV w:val="nil"/>
        </w:tcBorders>
        <w:shd w:val="clear" w:color="auto" w:fill="FFFFFF" w:themeFill="background1"/>
      </w:tcPr>
    </w:tblStylePr>
    <w:tblStylePr w:type="firstCol">
      <w:tcPr>
        <w:tcBorders>
          <w:top w:val="nil"/>
          <w:left w:val="nil"/>
          <w:bottom w:val="nil"/>
          <w:right w:val="single" w:color="4BACC6" w:themeColor="accent5" w:sz="8" w:space="0"/>
          <w:insideH w:val="nil"/>
          <w:insideV w:val="nil"/>
        </w:tcBorders>
        <w:shd w:val="clear" w:color="auto" w:fill="FFFFFF" w:themeFill="background1"/>
      </w:tcPr>
    </w:tblStylePr>
    <w:tblStylePr w:type="lastCol">
      <w:tcPr>
        <w:tcBorders>
          <w:top w:val="nil"/>
          <w:left w:val="single" w:color="4BACC6" w:themeColor="accent5" w:sz="8" w:space="0"/>
          <w:bottom w:val="nil"/>
          <w:right w:val="nil"/>
          <w:insideH w:val="nil"/>
          <w:insideV w:val="nil"/>
        </w:tcBorders>
        <w:shd w:val="clear" w:color="auto" w:fill="FFFFFF" w:themeFill="background1"/>
      </w:tcPr>
    </w:tblStylePr>
    <w:tblStylePr w:type="band1Vert">
      <w:tcPr>
        <w:tcBorders>
          <w:left w:val="nil"/>
          <w:right w:val="nil"/>
          <w:insideH w:val="nil"/>
          <w:insideV w:val="nil"/>
        </w:tcBorders>
        <w:shd w:val="clear" w:color="auto" w:fill="D2EAF0" w:themeFill="accent5" w:themeFillTint="3F"/>
      </w:tcPr>
    </w:tblStylePr>
    <w:tblStylePr w:type="band1Horz">
      <w:tcPr>
        <w:tcBorders>
          <w:top w:val="nil"/>
          <w:bottom w:val="nil"/>
          <w:insideH w:val="nil"/>
          <w:insideV w:val="nil"/>
        </w:tcBorders>
        <w:shd w:val="clear" w:color="auto" w:fill="D2EAF0" w:themeFill="accent5" w:themeFillTint="3F"/>
      </w:tcPr>
    </w:tblStylePr>
    <w:tblStylePr w:type="nwCell">
      <w:tcPr>
        <w:shd w:val="clear" w:color="auto" w:fill="FFFFFF" w:themeFill="background1"/>
      </w:tcPr>
    </w:tblStylePr>
    <w:tblStylePr w:type="swCell">
      <w:tcPr>
        <w:tcBorders>
          <w:top w:val="nil"/>
        </w:tcBorders>
      </w:tcPr>
    </w:tblStylePr>
  </w:style>
  <w:style w:type="table" w:styleId="114">
    <w:name w:val="Medium List 2 Accent 6"/>
    <w:basedOn w:val="12"/>
    <w:uiPriority w:val="66"/>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rPr>
        <w:sz w:val="24"/>
        <w:szCs w:val="24"/>
      </w:rPr>
      <w:tcPr>
        <w:tcBorders>
          <w:top w:val="nil"/>
          <w:left w:val="nil"/>
          <w:bottom w:val="single" w:color="F79646" w:themeColor="accent6" w:sz="24" w:space="0"/>
          <w:right w:val="nil"/>
          <w:insideH w:val="nil"/>
          <w:insideV w:val="nil"/>
        </w:tcBorders>
        <w:shd w:val="clear" w:color="auto" w:fill="FFFFFF" w:themeFill="background1"/>
      </w:tcPr>
    </w:tblStylePr>
    <w:tblStylePr w:type="lastRow">
      <w:tcPr>
        <w:tcBorders>
          <w:top w:val="single" w:color="F79646" w:themeColor="accent6" w:sz="8" w:space="0"/>
          <w:left w:val="nil"/>
          <w:bottom w:val="nil"/>
          <w:right w:val="nil"/>
          <w:insideH w:val="nil"/>
          <w:insideV w:val="nil"/>
        </w:tcBorders>
        <w:shd w:val="clear" w:color="auto" w:fill="FFFFFF" w:themeFill="background1"/>
      </w:tcPr>
    </w:tblStylePr>
    <w:tblStylePr w:type="firstCol">
      <w:tcPr>
        <w:tcBorders>
          <w:top w:val="nil"/>
          <w:left w:val="nil"/>
          <w:bottom w:val="nil"/>
          <w:right w:val="single" w:color="F79646" w:themeColor="accent6" w:sz="8" w:space="0"/>
          <w:insideH w:val="nil"/>
          <w:insideV w:val="nil"/>
        </w:tcBorders>
        <w:shd w:val="clear" w:color="auto" w:fill="FFFFFF" w:themeFill="background1"/>
      </w:tcPr>
    </w:tblStylePr>
    <w:tblStylePr w:type="lastCol">
      <w:tcPr>
        <w:tcBorders>
          <w:top w:val="nil"/>
          <w:left w:val="single" w:color="F79646" w:themeColor="accent6" w:sz="8" w:space="0"/>
          <w:bottom w:val="nil"/>
          <w:right w:val="nil"/>
          <w:insideH w:val="nil"/>
          <w:insideV w:val="nil"/>
        </w:tcBorders>
        <w:shd w:val="clear" w:color="auto" w:fill="FFFFFF" w:themeFill="background1"/>
      </w:tcPr>
    </w:tblStylePr>
    <w:tblStylePr w:type="band1Vert">
      <w:tcPr>
        <w:tcBorders>
          <w:left w:val="nil"/>
          <w:right w:val="nil"/>
          <w:insideH w:val="nil"/>
          <w:insideV w:val="nil"/>
        </w:tcBorders>
        <w:shd w:val="clear" w:color="auto" w:fill="FDE5D1" w:themeFill="accent6" w:themeFillTint="3F"/>
      </w:tcPr>
    </w:tblStylePr>
    <w:tblStylePr w:type="band1Horz">
      <w:tcPr>
        <w:tcBorders>
          <w:top w:val="nil"/>
          <w:bottom w:val="nil"/>
          <w:insideH w:val="nil"/>
          <w:insideV w:val="nil"/>
        </w:tcBorders>
        <w:shd w:val="clear" w:color="auto" w:fill="FDE5D1" w:themeFill="accent6" w:themeFillTint="3F"/>
      </w:tcPr>
    </w:tblStylePr>
    <w:tblStylePr w:type="nwCell">
      <w:tcPr>
        <w:shd w:val="clear" w:color="auto" w:fill="FFFFFF" w:themeFill="background1"/>
      </w:tcPr>
    </w:tblStylePr>
    <w:tblStylePr w:type="swCell">
      <w:tcPr>
        <w:tcBorders>
          <w:top w:val="nil"/>
        </w:tcBorders>
      </w:tcPr>
    </w:tblStylePr>
  </w:style>
  <w:style w:type="table" w:styleId="115">
    <w:name w:val="Medium Grid 1"/>
    <w:basedOn w:val="12"/>
    <w:uiPriority w:val="67"/>
    <w:pPr>
      <w:spacing w:after="0" w:line="240" w:lineRule="auto"/>
    </w:pPr>
    <w:tblPr>
      <w:tblBorders>
        <w:top w:val="single" w:color="3F3F3F" w:themeColor="text1" w:themeTint="BF" w:sz="8" w:space="0"/>
        <w:left w:val="single" w:color="3F3F3F" w:themeColor="text1" w:themeTint="BF" w:sz="8" w:space="0"/>
        <w:bottom w:val="single" w:color="3F3F3F" w:themeColor="text1" w:themeTint="BF" w:sz="8" w:space="0"/>
        <w:right w:val="single" w:color="3F3F3F" w:themeColor="text1" w:themeTint="BF" w:sz="8" w:space="0"/>
        <w:insideH w:val="single" w:color="3F3F3F" w:themeColor="text1" w:themeTint="BF" w:sz="8" w:space="0"/>
        <w:insideV w:val="single" w:color="3F3F3F" w:themeColor="text1" w:themeTint="BF" w:sz="8" w:space="0"/>
      </w:tblBorders>
    </w:tblPr>
    <w:tcPr>
      <w:shd w:val="clear" w:color="auto" w:fill="BFBFBF" w:themeFill="text1" w:themeFillTint="3F"/>
    </w:tcPr>
    <w:tblStylePr w:type="firstRow">
      <w:rPr>
        <w:b/>
        <w:bCs/>
      </w:rPr>
    </w:tblStylePr>
    <w:tblStylePr w:type="lastRow">
      <w:rPr>
        <w:b/>
        <w:bCs/>
      </w:rPr>
      <w:tcPr>
        <w:tcBorders>
          <w:top w:val="single" w:color="3F3F3F" w:themeColor="text1" w:themeTint="BF" w:sz="18" w:space="0"/>
        </w:tcBorders>
      </w:tcPr>
    </w:tblStylePr>
    <w:tblStylePr w:type="firstCol">
      <w:rPr>
        <w:b/>
        <w:bCs/>
      </w:rPr>
    </w:tblStylePr>
    <w:tblStylePr w:type="lastCol">
      <w:rPr>
        <w:b/>
        <w:bCs/>
      </w:rPr>
    </w:tblStylePr>
    <w:tblStylePr w:type="band1Vert">
      <w:tcPr>
        <w:shd w:val="clear" w:color="auto" w:fill="7F7F7F" w:themeFill="text1" w:themeFillTint="7F"/>
      </w:tcPr>
    </w:tblStylePr>
    <w:tblStylePr w:type="band1Horz">
      <w:tcPr>
        <w:shd w:val="clear" w:color="auto" w:fill="7F7F7F" w:themeFill="text1" w:themeFillTint="7F"/>
      </w:tcPr>
    </w:tblStylePr>
  </w:style>
  <w:style w:type="table" w:styleId="116">
    <w:name w:val="Medium Grid 1 Accent 1"/>
    <w:basedOn w:val="12"/>
    <w:uiPriority w:val="67"/>
    <w:pPr>
      <w:spacing w:after="0" w:line="240" w:lineRule="auto"/>
    </w:pPr>
    <w:tblPr>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insideV w:val="single" w:color="7BA0CD" w:themeColor="accent1" w:themeTint="BF" w:sz="8" w:space="0"/>
      </w:tblBorders>
    </w:tblPr>
    <w:tcPr>
      <w:shd w:val="clear" w:color="auto" w:fill="D3DFEE" w:themeFill="accent1" w:themeFillTint="3F"/>
    </w:tcPr>
    <w:tblStylePr w:type="firstRow">
      <w:rPr>
        <w:b/>
        <w:bCs/>
      </w:rPr>
    </w:tblStylePr>
    <w:tblStylePr w:type="lastRow">
      <w:rPr>
        <w:b/>
        <w:bCs/>
      </w:rPr>
      <w:tcPr>
        <w:tcBorders>
          <w:top w:val="single" w:color="7BA0CD" w:themeColor="accent1" w:themeTint="BF" w:sz="18" w:space="0"/>
        </w:tcBorders>
      </w:tcPr>
    </w:tblStylePr>
    <w:tblStylePr w:type="firstCol">
      <w:rPr>
        <w:b/>
        <w:bCs/>
      </w:rPr>
    </w:tblStylePr>
    <w:tblStylePr w:type="lastCol">
      <w:rPr>
        <w:b/>
        <w:bCs/>
      </w:rPr>
    </w:tblStylePr>
    <w:tblStylePr w:type="band1Vert">
      <w:tcPr>
        <w:shd w:val="clear" w:color="auto" w:fill="A7C0DE" w:themeFill="accent1" w:themeFillTint="7F"/>
      </w:tcPr>
    </w:tblStylePr>
    <w:tblStylePr w:type="band1Horz">
      <w:tcPr>
        <w:shd w:val="clear" w:color="auto" w:fill="A7C0DE" w:themeFill="accent1" w:themeFillTint="7F"/>
      </w:tcPr>
    </w:tblStylePr>
  </w:style>
  <w:style w:type="table" w:styleId="117">
    <w:name w:val="Medium Grid 1 Accent 2"/>
    <w:basedOn w:val="12"/>
    <w:uiPriority w:val="67"/>
    <w:pPr>
      <w:spacing w:after="0" w:line="240" w:lineRule="auto"/>
    </w:pPr>
    <w:tblPr>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insideV w:val="single" w:color="CF7B79" w:themeColor="accent2" w:themeTint="BF" w:sz="8" w:space="0"/>
      </w:tblBorders>
    </w:tblPr>
    <w:tcPr>
      <w:shd w:val="clear" w:color="auto" w:fill="EFD3D3" w:themeFill="accent2" w:themeFillTint="3F"/>
    </w:tcPr>
    <w:tblStylePr w:type="firstRow">
      <w:rPr>
        <w:b/>
        <w:bCs/>
      </w:rPr>
    </w:tblStylePr>
    <w:tblStylePr w:type="lastRow">
      <w:rPr>
        <w:b/>
        <w:bCs/>
      </w:rPr>
      <w:tcPr>
        <w:tcBorders>
          <w:top w:val="single" w:color="CF7B79" w:themeColor="accent2" w:themeTint="BF" w:sz="18" w:space="0"/>
        </w:tcBorders>
      </w:tcPr>
    </w:tblStylePr>
    <w:tblStylePr w:type="firstCol">
      <w:rPr>
        <w:b/>
        <w:bCs/>
      </w:rPr>
    </w:tblStylePr>
    <w:tblStylePr w:type="lastCol">
      <w:rPr>
        <w:b/>
        <w:bCs/>
      </w:rPr>
    </w:tblStylePr>
    <w:tblStylePr w:type="band1Vert">
      <w:tcPr>
        <w:shd w:val="clear" w:color="auto" w:fill="DFA7A6" w:themeFill="accent2" w:themeFillTint="7F"/>
      </w:tcPr>
    </w:tblStylePr>
    <w:tblStylePr w:type="band1Horz">
      <w:tcPr>
        <w:shd w:val="clear" w:color="auto" w:fill="DFA7A6" w:themeFill="accent2" w:themeFillTint="7F"/>
      </w:tcPr>
    </w:tblStylePr>
  </w:style>
  <w:style w:type="table" w:styleId="118">
    <w:name w:val="Medium Grid 1 Accent 3"/>
    <w:basedOn w:val="12"/>
    <w:uiPriority w:val="67"/>
    <w:pPr>
      <w:spacing w:after="0" w:line="240" w:lineRule="auto"/>
    </w:pPr>
    <w:tblPr>
      <w:tblBorders>
        <w:top w:val="single" w:color="B4CC82" w:themeColor="accent3" w:themeTint="BF" w:sz="8" w:space="0"/>
        <w:left w:val="single" w:color="B4CC82" w:themeColor="accent3" w:themeTint="BF" w:sz="8" w:space="0"/>
        <w:bottom w:val="single" w:color="B4CC82" w:themeColor="accent3" w:themeTint="BF" w:sz="8" w:space="0"/>
        <w:right w:val="single" w:color="B4CC82" w:themeColor="accent3" w:themeTint="BF" w:sz="8" w:space="0"/>
        <w:insideH w:val="single" w:color="B4CC82" w:themeColor="accent3" w:themeTint="BF" w:sz="8" w:space="0"/>
        <w:insideV w:val="single" w:color="B4CC82" w:themeColor="accent3" w:themeTint="BF" w:sz="8" w:space="0"/>
      </w:tblBorders>
    </w:tblPr>
    <w:tcPr>
      <w:shd w:val="clear" w:color="auto" w:fill="E6EED5" w:themeFill="accent3" w:themeFillTint="3F"/>
    </w:tcPr>
    <w:tblStylePr w:type="firstRow">
      <w:rPr>
        <w:b/>
        <w:bCs/>
      </w:rPr>
    </w:tblStylePr>
    <w:tblStylePr w:type="lastRow">
      <w:rPr>
        <w:b/>
        <w:bCs/>
      </w:rPr>
      <w:tcPr>
        <w:tcBorders>
          <w:top w:val="single" w:color="B4CC82" w:themeColor="accent3" w:themeTint="BF" w:sz="18" w:space="0"/>
        </w:tcBorders>
      </w:tcPr>
    </w:tblStylePr>
    <w:tblStylePr w:type="firstCol">
      <w:rPr>
        <w:b/>
        <w:bCs/>
      </w:rPr>
    </w:tblStylePr>
    <w:tblStylePr w:type="lastCol">
      <w:rPr>
        <w:b/>
        <w:bCs/>
      </w:rPr>
    </w:tblStylePr>
    <w:tblStylePr w:type="band1Vert">
      <w:tcPr>
        <w:shd w:val="clear" w:color="auto" w:fill="CDDDAC" w:themeFill="accent3" w:themeFillTint="7F"/>
      </w:tcPr>
    </w:tblStylePr>
    <w:tblStylePr w:type="band1Horz">
      <w:tcPr>
        <w:shd w:val="clear" w:color="auto" w:fill="CDDDAC" w:themeFill="accent3" w:themeFillTint="7F"/>
      </w:tcPr>
    </w:tblStylePr>
  </w:style>
  <w:style w:type="table" w:styleId="119">
    <w:name w:val="Medium Grid 1 Accent 4"/>
    <w:basedOn w:val="12"/>
    <w:uiPriority w:val="67"/>
    <w:pPr>
      <w:spacing w:after="0" w:line="240" w:lineRule="auto"/>
    </w:pPr>
    <w:tblPr>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insideV w:val="single" w:color="9F8AB9" w:themeColor="accent4" w:themeTint="BF" w:sz="8" w:space="0"/>
      </w:tblBorders>
    </w:tblPr>
    <w:tcPr>
      <w:shd w:val="clear" w:color="auto" w:fill="DFD8E8" w:themeFill="accent4" w:themeFillTint="3F"/>
    </w:tcPr>
    <w:tblStylePr w:type="firstRow">
      <w:rPr>
        <w:b/>
        <w:bCs/>
      </w:rPr>
    </w:tblStylePr>
    <w:tblStylePr w:type="lastRow">
      <w:rPr>
        <w:b/>
        <w:bCs/>
      </w:rPr>
      <w:tcPr>
        <w:tcBorders>
          <w:top w:val="single" w:color="9F8AB9" w:themeColor="accent4" w:themeTint="BF" w:sz="18" w:space="0"/>
        </w:tcBorders>
      </w:tcPr>
    </w:tblStylePr>
    <w:tblStylePr w:type="firstCol">
      <w:rPr>
        <w:b/>
        <w:bCs/>
      </w:rPr>
    </w:tblStylePr>
    <w:tblStylePr w:type="lastCol">
      <w:rPr>
        <w:b/>
        <w:bCs/>
      </w:rPr>
    </w:tblStylePr>
    <w:tblStylePr w:type="band1Vert">
      <w:tcPr>
        <w:shd w:val="clear" w:color="auto" w:fill="BFB1D0" w:themeFill="accent4" w:themeFillTint="7F"/>
      </w:tcPr>
    </w:tblStylePr>
    <w:tblStylePr w:type="band1Horz">
      <w:tcPr>
        <w:shd w:val="clear" w:color="auto" w:fill="BFB1D0" w:themeFill="accent4" w:themeFillTint="7F"/>
      </w:tcPr>
    </w:tblStylePr>
  </w:style>
  <w:style w:type="table" w:styleId="120">
    <w:name w:val="Medium Grid 1 Accent 5"/>
    <w:basedOn w:val="12"/>
    <w:uiPriority w:val="67"/>
    <w:pPr>
      <w:spacing w:after="0" w:line="240" w:lineRule="auto"/>
    </w:pPr>
    <w:tblPr>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insideV w:val="single" w:color="78C0D4" w:themeColor="accent5" w:themeTint="BF" w:sz="8" w:space="0"/>
      </w:tblBorders>
    </w:tblPr>
    <w:tcPr>
      <w:shd w:val="clear" w:color="auto" w:fill="D2EAF0" w:themeFill="accent5" w:themeFillTint="3F"/>
    </w:tcPr>
    <w:tblStylePr w:type="firstRow">
      <w:rPr>
        <w:b/>
        <w:bCs/>
      </w:rPr>
    </w:tblStylePr>
    <w:tblStylePr w:type="lastRow">
      <w:rPr>
        <w:b/>
        <w:bCs/>
      </w:rPr>
      <w:tcPr>
        <w:tcBorders>
          <w:top w:val="single" w:color="78C0D4" w:themeColor="accent5" w:themeTint="BF" w:sz="18" w:space="0"/>
        </w:tcBorders>
      </w:tcPr>
    </w:tblStylePr>
    <w:tblStylePr w:type="firstCol">
      <w:rPr>
        <w:b/>
        <w:bCs/>
      </w:rPr>
    </w:tblStylePr>
    <w:tblStylePr w:type="lastCol">
      <w:rPr>
        <w:b/>
        <w:bCs/>
      </w:rPr>
    </w:tblStylePr>
    <w:tblStylePr w:type="band1Vert">
      <w:tcPr>
        <w:shd w:val="clear" w:color="auto" w:fill="A5D5E2" w:themeFill="accent5" w:themeFillTint="7F"/>
      </w:tcPr>
    </w:tblStylePr>
    <w:tblStylePr w:type="band1Horz">
      <w:tcPr>
        <w:shd w:val="clear" w:color="auto" w:fill="A5D5E2" w:themeFill="accent5" w:themeFillTint="7F"/>
      </w:tcPr>
    </w:tblStylePr>
  </w:style>
  <w:style w:type="table" w:styleId="121">
    <w:name w:val="Medium Grid 1 Accent 6"/>
    <w:basedOn w:val="12"/>
    <w:uiPriority w:val="67"/>
    <w:pPr>
      <w:spacing w:after="0" w:line="240" w:lineRule="auto"/>
    </w:pPr>
    <w:tblPr>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insideV w:val="single" w:color="F9B074" w:themeColor="accent6" w:themeTint="BF" w:sz="8" w:space="0"/>
      </w:tblBorders>
    </w:tblPr>
    <w:tcPr>
      <w:shd w:val="clear" w:color="auto" w:fill="FDE5D1" w:themeFill="accent6" w:themeFillTint="3F"/>
    </w:tcPr>
    <w:tblStylePr w:type="firstRow">
      <w:rPr>
        <w:b/>
        <w:bCs/>
      </w:rPr>
    </w:tblStylePr>
    <w:tblStylePr w:type="lastRow">
      <w:rPr>
        <w:b/>
        <w:bCs/>
      </w:rPr>
      <w:tcPr>
        <w:tcBorders>
          <w:top w:val="single" w:color="F9B074" w:themeColor="accent6" w:themeTint="BF" w:sz="18" w:space="0"/>
        </w:tcBorders>
      </w:tcPr>
    </w:tblStylePr>
    <w:tblStylePr w:type="firstCol">
      <w:rPr>
        <w:b/>
        <w:bCs/>
      </w:rPr>
    </w:tblStylePr>
    <w:tblStylePr w:type="lastCol">
      <w:rPr>
        <w:b/>
        <w:bCs/>
      </w:rPr>
    </w:tblStylePr>
    <w:tblStylePr w:type="band1Vert">
      <w:tcPr>
        <w:shd w:val="clear" w:color="auto" w:fill="FBCAA2" w:themeFill="accent6" w:themeFillTint="7F"/>
      </w:tcPr>
    </w:tblStylePr>
    <w:tblStylePr w:type="band1Horz">
      <w:tcPr>
        <w:shd w:val="clear" w:color="auto" w:fill="FBCAA2" w:themeFill="accent6" w:themeFillTint="7F"/>
      </w:tcPr>
    </w:tblStylePr>
  </w:style>
  <w:style w:type="table" w:styleId="122">
    <w:name w:val="Medium Grid 2"/>
    <w:basedOn w:val="12"/>
    <w:uiPriority w:val="68"/>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cPr>
      <w:shd w:val="clear" w:color="auto" w:fill="BFBFBF" w:themeFill="text1" w:themeFillTint="3F"/>
    </w:tcPr>
    <w:tblStylePr w:type="firstRow">
      <w:rPr>
        <w:b/>
        <w:bCs/>
        <w:color w:val="000000" w:themeColor="text1"/>
        <w14:textFill>
          <w14:solidFill>
            <w14:schemeClr w14:val="tx1"/>
          </w14:solidFill>
        </w14:textFill>
      </w:rPr>
      <w:tcPr>
        <w:shd w:val="clear" w:color="auto" w:fill="E5E5E5" w:themeFill="text1" w:themeFillTint="19"/>
      </w:tcPr>
    </w:tblStylePr>
    <w:tblStylePr w:type="lastRow">
      <w:rPr>
        <w:b/>
        <w:bCs/>
        <w:color w:val="000000" w:themeColor="text1"/>
        <w14:textFill>
          <w14:solidFill>
            <w14:schemeClr w14:val="tx1"/>
          </w14:solidFill>
        </w14:textFill>
      </w:r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cPr>
        <w:tcBorders>
          <w:top w:val="nil"/>
          <w:left w:val="nil"/>
          <w:bottom w:val="nil"/>
          <w:right w:val="nil"/>
          <w:insideH w:val="nil"/>
          <w:insideV w:val="nil"/>
        </w:tcBorders>
        <w:shd w:val="clear" w:color="auto" w:fill="CCCCCC" w:themeFill="text1" w:themeFillTint="33"/>
      </w:tcPr>
    </w:tblStylePr>
    <w:tblStylePr w:type="band1Vert">
      <w:tcPr>
        <w:shd w:val="clear" w:color="auto" w:fill="7F7F7F" w:themeFill="text1" w:themeFillTint="7F"/>
      </w:tcPr>
    </w:tblStylePr>
    <w:tblStylePr w:type="band1Horz">
      <w:tcPr>
        <w:tcBorders>
          <w:insideH w:val="single" w:sz="6" w:space="0"/>
          <w:insideV w:val="single" w:sz="6" w:space="0"/>
        </w:tcBorders>
        <w:shd w:val="clear" w:color="auto" w:fill="7F7F7F" w:themeFill="text1" w:themeFillTint="7F"/>
      </w:tcPr>
    </w:tblStylePr>
    <w:tblStylePr w:type="nwCell">
      <w:tcPr>
        <w:shd w:val="clear" w:color="auto" w:fill="FFFFFF" w:themeFill="background1"/>
      </w:tcPr>
    </w:tblStylePr>
  </w:style>
  <w:style w:type="table" w:styleId="123">
    <w:name w:val="Medium Grid 2 Accent 1"/>
    <w:basedOn w:val="12"/>
    <w:uiPriority w:val="68"/>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cPr>
      <w:shd w:val="clear" w:color="auto" w:fill="D3DFEE" w:themeFill="accent1" w:themeFillTint="3F"/>
    </w:tcPr>
    <w:tblStylePr w:type="firstRow">
      <w:rPr>
        <w:b/>
        <w:bCs/>
        <w:color w:val="000000" w:themeColor="text1"/>
        <w14:textFill>
          <w14:solidFill>
            <w14:schemeClr w14:val="tx1"/>
          </w14:solidFill>
        </w14:textFill>
      </w:rPr>
      <w:tcPr>
        <w:shd w:val="clear" w:color="auto" w:fill="EDF2F8" w:themeFill="accent1" w:themeFillTint="19"/>
      </w:tcPr>
    </w:tblStylePr>
    <w:tblStylePr w:type="lastRow">
      <w:rPr>
        <w:b/>
        <w:bCs/>
        <w:color w:val="000000" w:themeColor="text1"/>
        <w14:textFill>
          <w14:solidFill>
            <w14:schemeClr w14:val="tx1"/>
          </w14:solidFill>
        </w14:textFill>
      </w:r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cPr>
        <w:tcBorders>
          <w:top w:val="nil"/>
          <w:left w:val="nil"/>
          <w:bottom w:val="nil"/>
          <w:right w:val="nil"/>
          <w:insideH w:val="nil"/>
          <w:insideV w:val="nil"/>
        </w:tcBorders>
        <w:shd w:val="clear" w:color="auto" w:fill="DBE5F1" w:themeFill="accent1" w:themeFillTint="33"/>
      </w:tcPr>
    </w:tblStylePr>
    <w:tblStylePr w:type="band1Vert">
      <w:tcPr>
        <w:shd w:val="clear" w:color="auto" w:fill="A7C0DE" w:themeFill="accent1" w:themeFillTint="7F"/>
      </w:tcPr>
    </w:tblStylePr>
    <w:tblStylePr w:type="band1Horz">
      <w:tcPr>
        <w:tcBorders>
          <w:insideH w:val="single" w:sz="6" w:space="0"/>
          <w:insideV w:val="single" w:sz="6" w:space="0"/>
        </w:tcBorders>
        <w:shd w:val="clear" w:color="auto" w:fill="A7C0DE" w:themeFill="accent1" w:themeFillTint="7F"/>
      </w:tcPr>
    </w:tblStylePr>
    <w:tblStylePr w:type="nwCell">
      <w:tcPr>
        <w:shd w:val="clear" w:color="auto" w:fill="FFFFFF" w:themeFill="background1"/>
      </w:tcPr>
    </w:tblStylePr>
  </w:style>
  <w:style w:type="table" w:styleId="124">
    <w:name w:val="Medium Grid 2 Accent 2"/>
    <w:basedOn w:val="12"/>
    <w:uiPriority w:val="68"/>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cPr>
      <w:shd w:val="clear" w:color="auto" w:fill="EFD3D3" w:themeFill="accent2" w:themeFillTint="3F"/>
    </w:tcPr>
    <w:tblStylePr w:type="firstRow">
      <w:rPr>
        <w:b/>
        <w:bCs/>
        <w:color w:val="000000" w:themeColor="text1"/>
        <w14:textFill>
          <w14:solidFill>
            <w14:schemeClr w14:val="tx1"/>
          </w14:solidFill>
        </w14:textFill>
      </w:rPr>
      <w:tcPr>
        <w:shd w:val="clear" w:color="auto" w:fill="F8EDED" w:themeFill="accent2" w:themeFillTint="19"/>
      </w:tcPr>
    </w:tblStylePr>
    <w:tblStylePr w:type="lastRow">
      <w:rPr>
        <w:b/>
        <w:bCs/>
        <w:color w:val="000000" w:themeColor="text1"/>
        <w14:textFill>
          <w14:solidFill>
            <w14:schemeClr w14:val="tx1"/>
          </w14:solidFill>
        </w14:textFill>
      </w:r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cPr>
        <w:tcBorders>
          <w:top w:val="nil"/>
          <w:left w:val="nil"/>
          <w:bottom w:val="nil"/>
          <w:right w:val="nil"/>
          <w:insideH w:val="nil"/>
          <w:insideV w:val="nil"/>
        </w:tcBorders>
        <w:shd w:val="clear" w:color="auto" w:fill="F2DBDB" w:themeFill="accent2" w:themeFillTint="33"/>
      </w:tcPr>
    </w:tblStylePr>
    <w:tblStylePr w:type="band1Vert">
      <w:tcPr>
        <w:shd w:val="clear" w:color="auto" w:fill="DFA7A6" w:themeFill="accent2" w:themeFillTint="7F"/>
      </w:tcPr>
    </w:tblStylePr>
    <w:tblStylePr w:type="band1Horz">
      <w:tcPr>
        <w:tcBorders>
          <w:insideH w:val="single" w:sz="6" w:space="0"/>
          <w:insideV w:val="single" w:sz="6" w:space="0"/>
        </w:tcBorders>
        <w:shd w:val="clear" w:color="auto" w:fill="DFA7A6" w:themeFill="accent2" w:themeFillTint="7F"/>
      </w:tcPr>
    </w:tblStylePr>
    <w:tblStylePr w:type="nwCell">
      <w:tcPr>
        <w:shd w:val="clear" w:color="auto" w:fill="FFFFFF" w:themeFill="background1"/>
      </w:tcPr>
    </w:tblStylePr>
  </w:style>
  <w:style w:type="table" w:styleId="125">
    <w:name w:val="Medium Grid 2 Accent 3"/>
    <w:basedOn w:val="12"/>
    <w:uiPriority w:val="68"/>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cPr>
      <w:shd w:val="clear" w:color="auto" w:fill="E6EED5" w:themeFill="accent3" w:themeFillTint="3F"/>
    </w:tcPr>
    <w:tblStylePr w:type="firstRow">
      <w:rPr>
        <w:b/>
        <w:bCs/>
        <w:color w:val="000000" w:themeColor="text1"/>
        <w14:textFill>
          <w14:solidFill>
            <w14:schemeClr w14:val="tx1"/>
          </w14:solidFill>
        </w14:textFill>
      </w:rPr>
      <w:tcPr>
        <w:shd w:val="clear" w:color="auto" w:fill="F5F8EE" w:themeFill="accent3" w:themeFillTint="19"/>
      </w:tcPr>
    </w:tblStylePr>
    <w:tblStylePr w:type="lastRow">
      <w:rPr>
        <w:b/>
        <w:bCs/>
        <w:color w:val="000000" w:themeColor="text1"/>
        <w14:textFill>
          <w14:solidFill>
            <w14:schemeClr w14:val="tx1"/>
          </w14:solidFill>
        </w14:textFill>
      </w:r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cPr>
        <w:tcBorders>
          <w:top w:val="nil"/>
          <w:left w:val="nil"/>
          <w:bottom w:val="nil"/>
          <w:right w:val="nil"/>
          <w:insideH w:val="nil"/>
          <w:insideV w:val="nil"/>
        </w:tcBorders>
        <w:shd w:val="clear" w:color="auto" w:fill="EAF1DD" w:themeFill="accent3" w:themeFillTint="33"/>
      </w:tcPr>
    </w:tblStylePr>
    <w:tblStylePr w:type="band1Vert">
      <w:tcPr>
        <w:shd w:val="clear" w:color="auto" w:fill="CDDDAC" w:themeFill="accent3" w:themeFillTint="7F"/>
      </w:tcPr>
    </w:tblStylePr>
    <w:tblStylePr w:type="band1Horz">
      <w:tcPr>
        <w:tcBorders>
          <w:insideH w:val="single" w:sz="6" w:space="0"/>
          <w:insideV w:val="single" w:sz="6" w:space="0"/>
        </w:tcBorders>
        <w:shd w:val="clear" w:color="auto" w:fill="CDDDAC" w:themeFill="accent3" w:themeFillTint="7F"/>
      </w:tcPr>
    </w:tblStylePr>
    <w:tblStylePr w:type="nwCell">
      <w:tcPr>
        <w:shd w:val="clear" w:color="auto" w:fill="FFFFFF" w:themeFill="background1"/>
      </w:tcPr>
    </w:tblStylePr>
  </w:style>
  <w:style w:type="table" w:styleId="126">
    <w:name w:val="Medium Grid 2 Accent 4"/>
    <w:basedOn w:val="12"/>
    <w:uiPriority w:val="68"/>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cPr>
      <w:shd w:val="clear" w:color="auto" w:fill="DFD8E8" w:themeFill="accent4" w:themeFillTint="3F"/>
    </w:tcPr>
    <w:tblStylePr w:type="firstRow">
      <w:rPr>
        <w:b/>
        <w:bCs/>
        <w:color w:val="000000" w:themeColor="text1"/>
        <w14:textFill>
          <w14:solidFill>
            <w14:schemeClr w14:val="tx1"/>
          </w14:solidFill>
        </w14:textFill>
      </w:rPr>
      <w:tcPr>
        <w:shd w:val="clear" w:color="auto" w:fill="F2EFF5" w:themeFill="accent4" w:themeFillTint="19"/>
      </w:tcPr>
    </w:tblStylePr>
    <w:tblStylePr w:type="lastRow">
      <w:rPr>
        <w:b/>
        <w:bCs/>
        <w:color w:val="000000" w:themeColor="text1"/>
        <w14:textFill>
          <w14:solidFill>
            <w14:schemeClr w14:val="tx1"/>
          </w14:solidFill>
        </w14:textFill>
      </w:r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cPr>
        <w:tcBorders>
          <w:top w:val="nil"/>
          <w:left w:val="nil"/>
          <w:bottom w:val="nil"/>
          <w:right w:val="nil"/>
          <w:insideH w:val="nil"/>
          <w:insideV w:val="nil"/>
        </w:tcBorders>
        <w:shd w:val="clear" w:color="auto" w:fill="E5DFEC" w:themeFill="accent4" w:themeFillTint="33"/>
      </w:tcPr>
    </w:tblStylePr>
    <w:tblStylePr w:type="band1Vert">
      <w:tcPr>
        <w:shd w:val="clear" w:color="auto" w:fill="BFB1D0" w:themeFill="accent4" w:themeFillTint="7F"/>
      </w:tcPr>
    </w:tblStylePr>
    <w:tblStylePr w:type="band1Horz">
      <w:tcPr>
        <w:tcBorders>
          <w:insideH w:val="single" w:sz="6" w:space="0"/>
          <w:insideV w:val="single" w:sz="6" w:space="0"/>
        </w:tcBorders>
        <w:shd w:val="clear" w:color="auto" w:fill="BFB1D0" w:themeFill="accent4" w:themeFillTint="7F"/>
      </w:tcPr>
    </w:tblStylePr>
    <w:tblStylePr w:type="nwCell">
      <w:tcPr>
        <w:shd w:val="clear" w:color="auto" w:fill="FFFFFF" w:themeFill="background1"/>
      </w:tcPr>
    </w:tblStylePr>
  </w:style>
  <w:style w:type="table" w:styleId="127">
    <w:name w:val="Medium Grid 2 Accent 5"/>
    <w:basedOn w:val="12"/>
    <w:uiPriority w:val="68"/>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cPr>
      <w:shd w:val="clear" w:color="auto" w:fill="D2EAF0" w:themeFill="accent5" w:themeFillTint="3F"/>
    </w:tcPr>
    <w:tblStylePr w:type="firstRow">
      <w:rPr>
        <w:b/>
        <w:bCs/>
        <w:color w:val="000000" w:themeColor="text1"/>
        <w14:textFill>
          <w14:solidFill>
            <w14:schemeClr w14:val="tx1"/>
          </w14:solidFill>
        </w14:textFill>
      </w:rPr>
      <w:tcPr>
        <w:shd w:val="clear" w:color="auto" w:fill="EDF6F9" w:themeFill="accent5" w:themeFillTint="19"/>
      </w:tcPr>
    </w:tblStylePr>
    <w:tblStylePr w:type="lastRow">
      <w:rPr>
        <w:b/>
        <w:bCs/>
        <w:color w:val="000000" w:themeColor="text1"/>
        <w14:textFill>
          <w14:solidFill>
            <w14:schemeClr w14:val="tx1"/>
          </w14:solidFill>
        </w14:textFill>
      </w:r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cPr>
        <w:tcBorders>
          <w:top w:val="nil"/>
          <w:left w:val="nil"/>
          <w:bottom w:val="nil"/>
          <w:right w:val="nil"/>
          <w:insideH w:val="nil"/>
          <w:insideV w:val="nil"/>
        </w:tcBorders>
        <w:shd w:val="clear" w:color="auto" w:fill="DAEEF3" w:themeFill="accent5" w:themeFillTint="33"/>
      </w:tcPr>
    </w:tblStylePr>
    <w:tblStylePr w:type="band1Vert">
      <w:tcPr>
        <w:shd w:val="clear" w:color="auto" w:fill="A5D5E2" w:themeFill="accent5" w:themeFillTint="7F"/>
      </w:tcPr>
    </w:tblStylePr>
    <w:tblStylePr w:type="band1Horz">
      <w:tcPr>
        <w:tcBorders>
          <w:insideH w:val="single" w:sz="6" w:space="0"/>
          <w:insideV w:val="single" w:sz="6" w:space="0"/>
        </w:tcBorders>
        <w:shd w:val="clear" w:color="auto" w:fill="A5D5E2" w:themeFill="accent5" w:themeFillTint="7F"/>
      </w:tcPr>
    </w:tblStylePr>
    <w:tblStylePr w:type="nwCell">
      <w:tcPr>
        <w:shd w:val="clear" w:color="auto" w:fill="FFFFFF" w:themeFill="background1"/>
      </w:tcPr>
    </w:tblStylePr>
  </w:style>
  <w:style w:type="table" w:styleId="128">
    <w:name w:val="Medium Grid 2 Accent 6"/>
    <w:basedOn w:val="12"/>
    <w:uiPriority w:val="68"/>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cPr>
      <w:shd w:val="clear" w:color="auto" w:fill="FDE5D1" w:themeFill="accent6" w:themeFillTint="3F"/>
    </w:tcPr>
    <w:tblStylePr w:type="firstRow">
      <w:rPr>
        <w:b/>
        <w:bCs/>
        <w:color w:val="000000" w:themeColor="text1"/>
        <w14:textFill>
          <w14:solidFill>
            <w14:schemeClr w14:val="tx1"/>
          </w14:solidFill>
        </w14:textFill>
      </w:rPr>
      <w:tcPr>
        <w:shd w:val="clear" w:color="auto" w:fill="FEF4EC" w:themeFill="accent6" w:themeFillTint="19"/>
      </w:tcPr>
    </w:tblStylePr>
    <w:tblStylePr w:type="lastRow">
      <w:rPr>
        <w:b/>
        <w:bCs/>
        <w:color w:val="000000" w:themeColor="text1"/>
        <w14:textFill>
          <w14:solidFill>
            <w14:schemeClr w14:val="tx1"/>
          </w14:solidFill>
        </w14:textFill>
      </w:r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cPr>
        <w:tcBorders>
          <w:top w:val="nil"/>
          <w:left w:val="nil"/>
          <w:bottom w:val="nil"/>
          <w:right w:val="nil"/>
          <w:insideH w:val="nil"/>
          <w:insideV w:val="nil"/>
        </w:tcBorders>
        <w:shd w:val="clear" w:color="auto" w:fill="FDE9D9" w:themeFill="accent6" w:themeFillTint="33"/>
      </w:tcPr>
    </w:tblStylePr>
    <w:tblStylePr w:type="band1Vert">
      <w:tcPr>
        <w:shd w:val="clear" w:color="auto" w:fill="FBCAA2" w:themeFill="accent6" w:themeFillTint="7F"/>
      </w:tcPr>
    </w:tblStylePr>
    <w:tblStylePr w:type="band1Horz">
      <w:tcPr>
        <w:tcBorders>
          <w:insideH w:val="single" w:sz="6" w:space="0"/>
          <w:insideV w:val="single" w:sz="6" w:space="0"/>
        </w:tcBorders>
        <w:shd w:val="clear" w:color="auto" w:fill="FBCAA2" w:themeFill="accent6" w:themeFillTint="7F"/>
      </w:tcPr>
    </w:tblStylePr>
    <w:tblStylePr w:type="nwCell">
      <w:tcPr>
        <w:shd w:val="clear" w:color="auto" w:fill="FFFFFF" w:themeFill="background1"/>
      </w:tcPr>
    </w:tblStylePr>
  </w:style>
  <w:style w:type="table" w:styleId="129">
    <w:name w:val="Medium Grid 3"/>
    <w:basedOn w:val="12"/>
    <w:uiPriority w:val="69"/>
    <w:pPr>
      <w:spacing w:after="0" w:line="240" w:lineRule="auto"/>
    </w:p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BFBFBF" w:themeFill="text1" w:themeFillTint="3F"/>
    </w:tcPr>
    <w:tblStylePr w:type="firstRow">
      <w:rPr>
        <w:b/>
        <w:bCs/>
        <w:i w:val="0"/>
        <w:iCs w:val="0"/>
        <w:color w:val="FFFFFF" w:themeColor="background1"/>
        <w14:textFill>
          <w14:solidFill>
            <w14:schemeClr w14:val="bg1"/>
          </w14:solidFill>
        </w14:textFill>
      </w:r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000000" w:themeFill="text1"/>
      </w:tcPr>
    </w:tblStylePr>
    <w:tblStylePr w:type="lastRow">
      <w:rPr>
        <w:b/>
        <w:bCs/>
        <w:i w:val="0"/>
        <w:iCs w:val="0"/>
        <w:color w:val="FFFFFF" w:themeColor="background1"/>
        <w14:textFill>
          <w14:solidFill>
            <w14:schemeClr w14:val="bg1"/>
          </w14:solidFill>
        </w14:textFill>
      </w:r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000000" w:themeFill="text1"/>
      </w:tcPr>
    </w:tblStylePr>
    <w:tblStylePr w:type="firstCol">
      <w:rPr>
        <w:b/>
        <w:bCs/>
        <w:i w:val="0"/>
        <w:iCs w:val="0"/>
        <w:color w:val="FFFFFF" w:themeColor="background1"/>
        <w14:textFill>
          <w14:solidFill>
            <w14:schemeClr w14:val="bg1"/>
          </w14:solidFill>
        </w14:textFill>
      </w:r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0"/>
        <w:iCs w:val="0"/>
        <w:color w:val="FFFFFF" w:themeColor="background1"/>
        <w14:textFill>
          <w14:solidFill>
            <w14:schemeClr w14:val="bg1"/>
          </w14:solidFill>
        </w14:textFill>
      </w:rPr>
      <w:tcPr>
        <w:tcBorders>
          <w:top w:val="nil"/>
          <w:left w:val="single" w:color="FFFFFF" w:themeColor="background1" w:sz="24" w:space="0"/>
          <w:bottom w:val="nil"/>
          <w:right w:val="nil"/>
          <w:insideH w:val="nil"/>
          <w:insideV w:val="nil"/>
        </w:tcBorders>
        <w:shd w:val="clear" w:color="auto" w:fill="000000" w:themeFill="text1"/>
      </w:tcPr>
    </w:tblStylePr>
    <w:tblStylePr w:type="band1Vert">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7F7F7F" w:themeFill="text1" w:themeFillTint="7F"/>
      </w:tcPr>
    </w:tblStylePr>
    <w:tblStylePr w:type="band1Horz">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7F7F7F" w:themeFill="text1" w:themeFillTint="7F"/>
      </w:tcPr>
    </w:tblStylePr>
  </w:style>
  <w:style w:type="table" w:styleId="130">
    <w:name w:val="Medium Grid 3 Accent 1"/>
    <w:basedOn w:val="12"/>
    <w:uiPriority w:val="69"/>
    <w:pPr>
      <w:spacing w:after="0" w:line="240" w:lineRule="auto"/>
    </w:p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3DFEE" w:themeFill="accent1" w:themeFillTint="3F"/>
    </w:tcPr>
    <w:tblStylePr w:type="firstRow">
      <w:rPr>
        <w:b/>
        <w:bCs/>
        <w:i w:val="0"/>
        <w:iCs w:val="0"/>
        <w:color w:val="FFFFFF" w:themeColor="background1"/>
        <w14:textFill>
          <w14:solidFill>
            <w14:schemeClr w14:val="bg1"/>
          </w14:solidFill>
        </w14:textFill>
      </w:r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4F81BD" w:themeFill="accent1"/>
      </w:tcPr>
    </w:tblStylePr>
    <w:tblStylePr w:type="lastRow">
      <w:rPr>
        <w:b/>
        <w:bCs/>
        <w:i w:val="0"/>
        <w:iCs w:val="0"/>
        <w:color w:val="FFFFFF" w:themeColor="background1"/>
        <w14:textFill>
          <w14:solidFill>
            <w14:schemeClr w14:val="bg1"/>
          </w14:solidFill>
        </w14:textFill>
      </w:r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4F81BD" w:themeFill="accent1"/>
      </w:tcPr>
    </w:tblStylePr>
    <w:tblStylePr w:type="firstCol">
      <w:rPr>
        <w:b/>
        <w:bCs/>
        <w:i w:val="0"/>
        <w:iCs w:val="0"/>
        <w:color w:val="FFFFFF" w:themeColor="background1"/>
        <w14:textFill>
          <w14:solidFill>
            <w14:schemeClr w14:val="bg1"/>
          </w14:solidFill>
        </w14:textFill>
      </w:r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0"/>
        <w:iCs w:val="0"/>
        <w:color w:val="FFFFFF" w:themeColor="background1"/>
        <w14:textFill>
          <w14:solidFill>
            <w14:schemeClr w14:val="bg1"/>
          </w14:solidFill>
        </w14:textFill>
      </w:rPr>
      <w:tcPr>
        <w:tcBorders>
          <w:top w:val="nil"/>
          <w:left w:val="single" w:color="FFFFFF" w:themeColor="background1" w:sz="24" w:space="0"/>
          <w:bottom w:val="nil"/>
          <w:right w:val="nil"/>
          <w:insideH w:val="nil"/>
          <w:insideV w:val="nil"/>
        </w:tcBorders>
        <w:shd w:val="clear" w:color="auto" w:fill="4F81BD" w:themeFill="accent1"/>
      </w:tcPr>
    </w:tblStylePr>
    <w:tblStylePr w:type="band1Vert">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C0DE" w:themeFill="accent1" w:themeFillTint="7F"/>
      </w:tcPr>
    </w:tblStylePr>
    <w:tblStylePr w:type="band1Horz">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A7C0DE" w:themeFill="accent1" w:themeFillTint="7F"/>
      </w:tcPr>
    </w:tblStylePr>
  </w:style>
  <w:style w:type="table" w:styleId="131">
    <w:name w:val="Medium Grid 3 Accent 2"/>
    <w:basedOn w:val="12"/>
    <w:uiPriority w:val="69"/>
    <w:pPr>
      <w:spacing w:after="0" w:line="240" w:lineRule="auto"/>
    </w:p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FD3D3" w:themeFill="accent2" w:themeFillTint="3F"/>
    </w:tcPr>
    <w:tblStylePr w:type="firstRow">
      <w:rPr>
        <w:b/>
        <w:bCs/>
        <w:i w:val="0"/>
        <w:iCs w:val="0"/>
        <w:color w:val="FFFFFF" w:themeColor="background1"/>
        <w14:textFill>
          <w14:solidFill>
            <w14:schemeClr w14:val="bg1"/>
          </w14:solidFill>
        </w14:textFill>
      </w:r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C0504D" w:themeFill="accent2"/>
      </w:tcPr>
    </w:tblStylePr>
    <w:tblStylePr w:type="lastRow">
      <w:rPr>
        <w:b/>
        <w:bCs/>
        <w:i w:val="0"/>
        <w:iCs w:val="0"/>
        <w:color w:val="FFFFFF" w:themeColor="background1"/>
        <w14:textFill>
          <w14:solidFill>
            <w14:schemeClr w14:val="bg1"/>
          </w14:solidFill>
        </w14:textFill>
      </w:r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C0504D" w:themeFill="accent2"/>
      </w:tcPr>
    </w:tblStylePr>
    <w:tblStylePr w:type="firstCol">
      <w:rPr>
        <w:b/>
        <w:bCs/>
        <w:i w:val="0"/>
        <w:iCs w:val="0"/>
        <w:color w:val="FFFFFF" w:themeColor="background1"/>
        <w14:textFill>
          <w14:solidFill>
            <w14:schemeClr w14:val="bg1"/>
          </w14:solidFill>
        </w14:textFill>
      </w:rPr>
      <w:tcPr>
        <w:tcBorders>
          <w:left w:val="single" w:color="FFFFFF" w:themeColor="background1" w:sz="8" w:space="0"/>
          <w:right w:val="single" w:color="FFFFFF" w:themeColor="background1" w:sz="24" w:space="0"/>
          <w:insideH w:val="nil"/>
          <w:insideV w:val="nil"/>
        </w:tcBorders>
        <w:shd w:val="clear" w:color="auto" w:fill="C0504D" w:themeFill="accent2"/>
      </w:tcPr>
    </w:tblStylePr>
    <w:tblStylePr w:type="lastCol">
      <w:rPr>
        <w:b/>
        <w:bCs/>
        <w:i w:val="0"/>
        <w:iCs w:val="0"/>
        <w:color w:val="FFFFFF" w:themeColor="background1"/>
        <w14:textFill>
          <w14:solidFill>
            <w14:schemeClr w14:val="bg1"/>
          </w14:solidFill>
        </w14:textFill>
      </w:rPr>
      <w:tcPr>
        <w:tcBorders>
          <w:top w:val="nil"/>
          <w:left w:val="single" w:color="FFFFFF" w:themeColor="background1" w:sz="24" w:space="0"/>
          <w:bottom w:val="nil"/>
          <w:right w:val="nil"/>
          <w:insideH w:val="nil"/>
          <w:insideV w:val="nil"/>
        </w:tcBorders>
        <w:shd w:val="clear" w:color="auto" w:fill="C0504D" w:themeFill="accent2"/>
      </w:tcPr>
    </w:tblStylePr>
    <w:tblStylePr w:type="band1Vert">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FA7A6" w:themeFill="accent2" w:themeFillTint="7F"/>
      </w:tcPr>
    </w:tblStylePr>
    <w:tblStylePr w:type="band1Horz">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DFA7A6" w:themeFill="accent2" w:themeFillTint="7F"/>
      </w:tcPr>
    </w:tblStylePr>
  </w:style>
  <w:style w:type="table" w:styleId="132">
    <w:name w:val="Medium Grid 3 Accent 3"/>
    <w:basedOn w:val="12"/>
    <w:uiPriority w:val="69"/>
    <w:pPr>
      <w:spacing w:after="0" w:line="240" w:lineRule="auto"/>
    </w:p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6EED5" w:themeFill="accent3" w:themeFillTint="3F"/>
    </w:tcPr>
    <w:tblStylePr w:type="firstRow">
      <w:rPr>
        <w:b/>
        <w:bCs/>
        <w:i w:val="0"/>
        <w:iCs w:val="0"/>
        <w:color w:val="FFFFFF" w:themeColor="background1"/>
        <w14:textFill>
          <w14:solidFill>
            <w14:schemeClr w14:val="bg1"/>
          </w14:solidFill>
        </w14:textFill>
      </w:r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9BBB59" w:themeFill="accent3"/>
      </w:tcPr>
    </w:tblStylePr>
    <w:tblStylePr w:type="lastRow">
      <w:rPr>
        <w:b/>
        <w:bCs/>
        <w:i w:val="0"/>
        <w:iCs w:val="0"/>
        <w:color w:val="FFFFFF" w:themeColor="background1"/>
        <w14:textFill>
          <w14:solidFill>
            <w14:schemeClr w14:val="bg1"/>
          </w14:solidFill>
        </w14:textFill>
      </w:r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9BBB59" w:themeFill="accent3"/>
      </w:tcPr>
    </w:tblStylePr>
    <w:tblStylePr w:type="firstCol">
      <w:rPr>
        <w:b/>
        <w:bCs/>
        <w:i w:val="0"/>
        <w:iCs w:val="0"/>
        <w:color w:val="FFFFFF" w:themeColor="background1"/>
        <w14:textFill>
          <w14:solidFill>
            <w14:schemeClr w14:val="bg1"/>
          </w14:solidFill>
        </w14:textFill>
      </w:rPr>
      <w:tcPr>
        <w:tcBorders>
          <w:left w:val="single" w:color="FFFFFF" w:themeColor="background1" w:sz="8" w:space="0"/>
          <w:right w:val="single" w:color="FFFFFF" w:themeColor="background1" w:sz="24" w:space="0"/>
          <w:insideH w:val="nil"/>
          <w:insideV w:val="nil"/>
        </w:tcBorders>
        <w:shd w:val="clear" w:color="auto" w:fill="9BBB59" w:themeFill="accent3"/>
      </w:tcPr>
    </w:tblStylePr>
    <w:tblStylePr w:type="lastCol">
      <w:rPr>
        <w:b/>
        <w:bCs/>
        <w:i w:val="0"/>
        <w:iCs w:val="0"/>
        <w:color w:val="FFFFFF" w:themeColor="background1"/>
        <w14:textFill>
          <w14:solidFill>
            <w14:schemeClr w14:val="bg1"/>
          </w14:solidFill>
        </w14:textFill>
      </w:rPr>
      <w:tcPr>
        <w:tcBorders>
          <w:top w:val="nil"/>
          <w:left w:val="single" w:color="FFFFFF" w:themeColor="background1" w:sz="24" w:space="0"/>
          <w:bottom w:val="nil"/>
          <w:right w:val="nil"/>
          <w:insideH w:val="nil"/>
          <w:insideV w:val="nil"/>
        </w:tcBorders>
        <w:shd w:val="clear" w:color="auto" w:fill="9BBB59" w:themeFill="accent3"/>
      </w:tcPr>
    </w:tblStylePr>
    <w:tblStylePr w:type="band1Vert">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DDDAC" w:themeFill="accent3" w:themeFillTint="7F"/>
      </w:tcPr>
    </w:tblStylePr>
    <w:tblStylePr w:type="band1Horz">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CDDDAC" w:themeFill="accent3" w:themeFillTint="7F"/>
      </w:tcPr>
    </w:tblStylePr>
  </w:style>
  <w:style w:type="table" w:styleId="133">
    <w:name w:val="Medium Grid 3 Accent 4"/>
    <w:basedOn w:val="12"/>
    <w:uiPriority w:val="69"/>
    <w:pPr>
      <w:spacing w:after="0" w:line="240" w:lineRule="auto"/>
    </w:p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FD8E8" w:themeFill="accent4" w:themeFillTint="3F"/>
    </w:tcPr>
    <w:tblStylePr w:type="firstRow">
      <w:rPr>
        <w:b/>
        <w:bCs/>
        <w:i w:val="0"/>
        <w:iCs w:val="0"/>
        <w:color w:val="FFFFFF" w:themeColor="background1"/>
        <w14:textFill>
          <w14:solidFill>
            <w14:schemeClr w14:val="bg1"/>
          </w14:solidFill>
        </w14:textFill>
      </w:r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8064A2" w:themeFill="accent4"/>
      </w:tcPr>
    </w:tblStylePr>
    <w:tblStylePr w:type="lastRow">
      <w:rPr>
        <w:b/>
        <w:bCs/>
        <w:i w:val="0"/>
        <w:iCs w:val="0"/>
        <w:color w:val="FFFFFF" w:themeColor="background1"/>
        <w14:textFill>
          <w14:solidFill>
            <w14:schemeClr w14:val="bg1"/>
          </w14:solidFill>
        </w14:textFill>
      </w:r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8064A2" w:themeFill="accent4"/>
      </w:tcPr>
    </w:tblStylePr>
    <w:tblStylePr w:type="firstCol">
      <w:rPr>
        <w:b/>
        <w:bCs/>
        <w:i w:val="0"/>
        <w:iCs w:val="0"/>
        <w:color w:val="FFFFFF" w:themeColor="background1"/>
        <w14:textFill>
          <w14:solidFill>
            <w14:schemeClr w14:val="bg1"/>
          </w14:solidFill>
        </w14:textFill>
      </w:rPr>
      <w:tcPr>
        <w:tcBorders>
          <w:left w:val="single" w:color="FFFFFF" w:themeColor="background1" w:sz="8" w:space="0"/>
          <w:right w:val="single" w:color="FFFFFF" w:themeColor="background1" w:sz="24" w:space="0"/>
          <w:insideH w:val="nil"/>
          <w:insideV w:val="nil"/>
        </w:tcBorders>
        <w:shd w:val="clear" w:color="auto" w:fill="8064A2" w:themeFill="accent4"/>
      </w:tcPr>
    </w:tblStylePr>
    <w:tblStylePr w:type="lastCol">
      <w:rPr>
        <w:b/>
        <w:bCs/>
        <w:i w:val="0"/>
        <w:iCs w:val="0"/>
        <w:color w:val="FFFFFF" w:themeColor="background1"/>
        <w14:textFill>
          <w14:solidFill>
            <w14:schemeClr w14:val="bg1"/>
          </w14:solidFill>
        </w14:textFill>
      </w:rPr>
      <w:tcPr>
        <w:tcBorders>
          <w:top w:val="nil"/>
          <w:left w:val="single" w:color="FFFFFF" w:themeColor="background1" w:sz="24" w:space="0"/>
          <w:bottom w:val="nil"/>
          <w:right w:val="nil"/>
          <w:insideH w:val="nil"/>
          <w:insideV w:val="nil"/>
        </w:tcBorders>
        <w:shd w:val="clear" w:color="auto" w:fill="8064A2" w:themeFill="accent4"/>
      </w:tcPr>
    </w:tblStylePr>
    <w:tblStylePr w:type="band1Vert">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FB1D0" w:themeFill="accent4" w:themeFillTint="7F"/>
      </w:tcPr>
    </w:tblStylePr>
    <w:tblStylePr w:type="band1Horz">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BFB1D0" w:themeFill="accent4" w:themeFillTint="7F"/>
      </w:tcPr>
    </w:tblStylePr>
  </w:style>
  <w:style w:type="table" w:styleId="134">
    <w:name w:val="Medium Grid 3 Accent 5"/>
    <w:basedOn w:val="12"/>
    <w:uiPriority w:val="69"/>
    <w:pPr>
      <w:spacing w:after="0" w:line="240" w:lineRule="auto"/>
    </w:p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2EAF0" w:themeFill="accent5" w:themeFillTint="3F"/>
    </w:tcPr>
    <w:tblStylePr w:type="firstRow">
      <w:rPr>
        <w:b/>
        <w:bCs/>
        <w:i w:val="0"/>
        <w:iCs w:val="0"/>
        <w:color w:val="FFFFFF" w:themeColor="background1"/>
        <w14:textFill>
          <w14:solidFill>
            <w14:schemeClr w14:val="bg1"/>
          </w14:solidFill>
        </w14:textFill>
      </w:r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4BACC6" w:themeFill="accent5"/>
      </w:tcPr>
    </w:tblStylePr>
    <w:tblStylePr w:type="lastRow">
      <w:rPr>
        <w:b/>
        <w:bCs/>
        <w:i w:val="0"/>
        <w:iCs w:val="0"/>
        <w:color w:val="FFFFFF" w:themeColor="background1"/>
        <w14:textFill>
          <w14:solidFill>
            <w14:schemeClr w14:val="bg1"/>
          </w14:solidFill>
        </w14:textFill>
      </w:r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4BACC6" w:themeFill="accent5"/>
      </w:tcPr>
    </w:tblStylePr>
    <w:tblStylePr w:type="firstCol">
      <w:rPr>
        <w:b/>
        <w:bCs/>
        <w:i w:val="0"/>
        <w:iCs w:val="0"/>
        <w:color w:val="FFFFFF" w:themeColor="background1"/>
        <w14:textFill>
          <w14:solidFill>
            <w14:schemeClr w14:val="bg1"/>
          </w14:solidFill>
        </w14:textFill>
      </w:rPr>
      <w:tcPr>
        <w:tcBorders>
          <w:left w:val="single" w:color="FFFFFF" w:themeColor="background1" w:sz="8" w:space="0"/>
          <w:right w:val="single" w:color="FFFFFF" w:themeColor="background1" w:sz="24" w:space="0"/>
          <w:insideH w:val="nil"/>
          <w:insideV w:val="nil"/>
        </w:tcBorders>
        <w:shd w:val="clear" w:color="auto" w:fill="4BACC6" w:themeFill="accent5"/>
      </w:tcPr>
    </w:tblStylePr>
    <w:tblStylePr w:type="lastCol">
      <w:rPr>
        <w:b/>
        <w:bCs/>
        <w:i w:val="0"/>
        <w:iCs w:val="0"/>
        <w:color w:val="FFFFFF" w:themeColor="background1"/>
        <w14:textFill>
          <w14:solidFill>
            <w14:schemeClr w14:val="bg1"/>
          </w14:solidFill>
        </w14:textFill>
      </w:rPr>
      <w:tcPr>
        <w:tcBorders>
          <w:top w:val="nil"/>
          <w:left w:val="single" w:color="FFFFFF" w:themeColor="background1" w:sz="24" w:space="0"/>
          <w:bottom w:val="nil"/>
          <w:right w:val="nil"/>
          <w:insideH w:val="nil"/>
          <w:insideV w:val="nil"/>
        </w:tcBorders>
        <w:shd w:val="clear" w:color="auto" w:fill="4BACC6" w:themeFill="accent5"/>
      </w:tcPr>
    </w:tblStylePr>
    <w:tblStylePr w:type="band1Vert">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5D5E2" w:themeFill="accent5" w:themeFillTint="7F"/>
      </w:tcPr>
    </w:tblStylePr>
    <w:tblStylePr w:type="band1Horz">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A5D5E2" w:themeFill="accent5" w:themeFillTint="7F"/>
      </w:tcPr>
    </w:tblStylePr>
  </w:style>
  <w:style w:type="table" w:styleId="135">
    <w:name w:val="Medium Grid 3 Accent 6"/>
    <w:basedOn w:val="12"/>
    <w:uiPriority w:val="69"/>
    <w:pPr>
      <w:spacing w:after="0" w:line="240" w:lineRule="auto"/>
    </w:p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DE5D1" w:themeFill="accent6" w:themeFillTint="3F"/>
    </w:tcPr>
    <w:tblStylePr w:type="firstRow">
      <w:rPr>
        <w:b/>
        <w:bCs/>
        <w:i w:val="0"/>
        <w:iCs w:val="0"/>
        <w:color w:val="FFFFFF" w:themeColor="background1"/>
        <w14:textFill>
          <w14:solidFill>
            <w14:schemeClr w14:val="bg1"/>
          </w14:solidFill>
        </w14:textFill>
      </w:r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F79646" w:themeFill="accent6"/>
      </w:tcPr>
    </w:tblStylePr>
    <w:tblStylePr w:type="lastRow">
      <w:rPr>
        <w:b/>
        <w:bCs/>
        <w:i w:val="0"/>
        <w:iCs w:val="0"/>
        <w:color w:val="FFFFFF" w:themeColor="background1"/>
        <w14:textFill>
          <w14:solidFill>
            <w14:schemeClr w14:val="bg1"/>
          </w14:solidFill>
        </w14:textFill>
      </w:r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F79646" w:themeFill="accent6"/>
      </w:tcPr>
    </w:tblStylePr>
    <w:tblStylePr w:type="firstCol">
      <w:rPr>
        <w:b/>
        <w:bCs/>
        <w:i w:val="0"/>
        <w:iCs w:val="0"/>
        <w:color w:val="FFFFFF" w:themeColor="background1"/>
        <w14:textFill>
          <w14:solidFill>
            <w14:schemeClr w14:val="bg1"/>
          </w14:solidFill>
        </w14:textFill>
      </w:rPr>
      <w:tcPr>
        <w:tcBorders>
          <w:left w:val="single" w:color="FFFFFF" w:themeColor="background1" w:sz="8" w:space="0"/>
          <w:right w:val="single" w:color="FFFFFF" w:themeColor="background1" w:sz="24" w:space="0"/>
          <w:insideH w:val="nil"/>
          <w:insideV w:val="nil"/>
        </w:tcBorders>
        <w:shd w:val="clear" w:color="auto" w:fill="F79646" w:themeFill="accent6"/>
      </w:tcPr>
    </w:tblStylePr>
    <w:tblStylePr w:type="lastCol">
      <w:rPr>
        <w:b/>
        <w:bCs/>
        <w:i w:val="0"/>
        <w:iCs w:val="0"/>
        <w:color w:val="FFFFFF" w:themeColor="background1"/>
        <w14:textFill>
          <w14:solidFill>
            <w14:schemeClr w14:val="bg1"/>
          </w14:solidFill>
        </w14:textFill>
      </w:rPr>
      <w:tcPr>
        <w:tcBorders>
          <w:top w:val="nil"/>
          <w:left w:val="single" w:color="FFFFFF" w:themeColor="background1" w:sz="24" w:space="0"/>
          <w:bottom w:val="nil"/>
          <w:right w:val="nil"/>
          <w:insideH w:val="nil"/>
          <w:insideV w:val="nil"/>
        </w:tcBorders>
        <w:shd w:val="clear" w:color="auto" w:fill="F79646" w:themeFill="accent6"/>
      </w:tcPr>
    </w:tblStylePr>
    <w:tblStylePr w:type="band1Vert">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BCAA2" w:themeFill="accent6" w:themeFillTint="7F"/>
      </w:tcPr>
    </w:tblStylePr>
    <w:tblStylePr w:type="band1Horz">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FBCAA2" w:themeFill="accent6" w:themeFillTint="7F"/>
      </w:tcPr>
    </w:tblStylePr>
  </w:style>
  <w:style w:type="table" w:styleId="136">
    <w:name w:val="Dark List"/>
    <w:basedOn w:val="12"/>
    <w:uiPriority w:val="70"/>
    <w:pPr>
      <w:spacing w:after="0" w:line="240" w:lineRule="auto"/>
    </w:pPr>
    <w:rPr>
      <w:color w:val="FFFFFF" w:themeColor="background1"/>
      <w14:textFill>
        <w14:solidFill>
          <w14:schemeClr w14:val="bg1"/>
        </w14:solidFill>
      </w14:textFill>
    </w:rPr>
    <w:tcPr>
      <w:shd w:val="clear" w:color="auto" w:fill="000000" w:themeFill="text1"/>
    </w:tcPr>
    <w:tblStylePr w:type="firstRow">
      <w:rPr>
        <w:b/>
        <w:bCs/>
      </w:rPr>
      <w:tcPr>
        <w:tcBorders>
          <w:top w:val="nil"/>
          <w:left w:val="nil"/>
          <w:bottom w:val="single" w:color="FFFFFF" w:themeColor="background1" w:sz="18" w:space="0"/>
          <w:right w:val="nil"/>
          <w:insideH w:val="nil"/>
          <w:insideV w:val="nil"/>
        </w:tcBorders>
        <w:shd w:val="clear" w:color="auto" w:fill="000000" w:themeFill="text1"/>
      </w:tcPr>
    </w:tblStylePr>
    <w:tblStylePr w:type="lastRow">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cPr>
        <w:tcBorders>
          <w:top w:val="nil"/>
          <w:left w:val="nil"/>
          <w:bottom w:val="nil"/>
          <w:right w:val="nil"/>
          <w:insideH w:val="nil"/>
          <w:insideV w:val="nil"/>
        </w:tcBorders>
        <w:shd w:val="clear" w:color="auto" w:fill="000000" w:themeFill="text1" w:themeFillShade="BF"/>
      </w:tcPr>
    </w:tblStylePr>
    <w:tblStylePr w:type="band1Horz">
      <w:tcPr>
        <w:tcBorders>
          <w:top w:val="nil"/>
          <w:left w:val="nil"/>
          <w:bottom w:val="nil"/>
          <w:right w:val="nil"/>
          <w:insideH w:val="nil"/>
          <w:insideV w:val="nil"/>
        </w:tcBorders>
        <w:shd w:val="clear" w:color="auto" w:fill="000000" w:themeFill="text1" w:themeFillShade="BF"/>
      </w:tcPr>
    </w:tblStylePr>
  </w:style>
  <w:style w:type="table" w:styleId="137">
    <w:name w:val="Dark List Accent 1"/>
    <w:basedOn w:val="12"/>
    <w:uiPriority w:val="70"/>
    <w:pPr>
      <w:spacing w:after="0" w:line="240" w:lineRule="auto"/>
    </w:pPr>
    <w:rPr>
      <w:color w:val="FFFFFF" w:themeColor="background1"/>
      <w14:textFill>
        <w14:solidFill>
          <w14:schemeClr w14:val="bg1"/>
        </w14:solidFill>
      </w14:textFill>
    </w:rPr>
    <w:tcPr>
      <w:shd w:val="clear" w:color="auto" w:fill="4F81BD" w:themeFill="accent1"/>
    </w:tcPr>
    <w:tblStylePr w:type="firstRow">
      <w:rPr>
        <w:b/>
        <w:bCs/>
      </w:rPr>
      <w:tcPr>
        <w:tcBorders>
          <w:top w:val="nil"/>
          <w:left w:val="nil"/>
          <w:bottom w:val="single" w:color="FFFFFF" w:themeColor="background1" w:sz="18" w:space="0"/>
          <w:right w:val="nil"/>
          <w:insideH w:val="nil"/>
          <w:insideV w:val="nil"/>
        </w:tcBorders>
        <w:shd w:val="clear" w:color="auto" w:fill="000000" w:themeFill="text1"/>
      </w:tcPr>
    </w:tblStylePr>
    <w:tblStylePr w:type="lastRow">
      <w:tcPr>
        <w:tcBorders>
          <w:top w:val="single" w:color="FFFFFF" w:themeColor="background1" w:sz="18" w:space="0"/>
          <w:left w:val="nil"/>
          <w:bottom w:val="nil"/>
          <w:right w:val="nil"/>
          <w:insideH w:val="nil"/>
          <w:insideV w:val="nil"/>
        </w:tcBorders>
        <w:shd w:val="clear" w:color="auto" w:fill="243F61" w:themeFill="accent1" w:themeFillShade="7F"/>
      </w:tcPr>
    </w:tblStylePr>
    <w:tblStylePr w:type="firstCol">
      <w:tcPr>
        <w:tcBorders>
          <w:top w:val="nil"/>
          <w:left w:val="nil"/>
          <w:bottom w:val="nil"/>
          <w:right w:val="single" w:color="FFFFFF" w:themeColor="background1" w:sz="18" w:space="0"/>
          <w:insideH w:val="nil"/>
          <w:insideV w:val="nil"/>
        </w:tcBorders>
        <w:shd w:val="clear" w:color="auto" w:fill="366091" w:themeFill="accent1" w:themeFillShade="BF"/>
      </w:tcPr>
    </w:tblStylePr>
    <w:tblStylePr w:type="lastCol">
      <w:tcPr>
        <w:tcBorders>
          <w:top w:val="nil"/>
          <w:left w:val="single" w:color="FFFFFF" w:themeColor="background1" w:sz="18" w:space="0"/>
          <w:bottom w:val="nil"/>
          <w:right w:val="nil"/>
          <w:insideH w:val="nil"/>
          <w:insideV w:val="nil"/>
        </w:tcBorders>
        <w:shd w:val="clear" w:color="auto" w:fill="366091" w:themeFill="accent1" w:themeFillShade="BF"/>
      </w:tcPr>
    </w:tblStylePr>
    <w:tblStylePr w:type="band1Vert">
      <w:tcPr>
        <w:tcBorders>
          <w:top w:val="nil"/>
          <w:left w:val="nil"/>
          <w:bottom w:val="nil"/>
          <w:right w:val="nil"/>
          <w:insideH w:val="nil"/>
          <w:insideV w:val="nil"/>
        </w:tcBorders>
        <w:shd w:val="clear" w:color="auto" w:fill="366091" w:themeFill="accent1" w:themeFillShade="BF"/>
      </w:tcPr>
    </w:tblStylePr>
    <w:tblStylePr w:type="band1Horz">
      <w:tcPr>
        <w:tcBorders>
          <w:top w:val="nil"/>
          <w:left w:val="nil"/>
          <w:bottom w:val="nil"/>
          <w:right w:val="nil"/>
          <w:insideH w:val="nil"/>
          <w:insideV w:val="nil"/>
        </w:tcBorders>
        <w:shd w:val="clear" w:color="auto" w:fill="366091" w:themeFill="accent1" w:themeFillShade="BF"/>
      </w:tcPr>
    </w:tblStylePr>
  </w:style>
  <w:style w:type="table" w:styleId="138">
    <w:name w:val="Dark List Accent 2"/>
    <w:basedOn w:val="12"/>
    <w:uiPriority w:val="70"/>
    <w:pPr>
      <w:spacing w:after="0" w:line="240" w:lineRule="auto"/>
    </w:pPr>
    <w:rPr>
      <w:color w:val="FFFFFF" w:themeColor="background1"/>
      <w14:textFill>
        <w14:solidFill>
          <w14:schemeClr w14:val="bg1"/>
        </w14:solidFill>
      </w14:textFill>
    </w:rPr>
    <w:tcPr>
      <w:shd w:val="clear" w:color="auto" w:fill="C0504D" w:themeFill="accent2"/>
    </w:tcPr>
    <w:tblStylePr w:type="firstRow">
      <w:rPr>
        <w:b/>
        <w:bCs/>
      </w:rPr>
      <w:tcPr>
        <w:tcBorders>
          <w:top w:val="nil"/>
          <w:left w:val="nil"/>
          <w:bottom w:val="single" w:color="FFFFFF" w:themeColor="background1" w:sz="18" w:space="0"/>
          <w:right w:val="nil"/>
          <w:insideH w:val="nil"/>
          <w:insideV w:val="nil"/>
        </w:tcBorders>
        <w:shd w:val="clear" w:color="auto" w:fill="000000" w:themeFill="text1"/>
      </w:tcPr>
    </w:tblStylePr>
    <w:tblStylePr w:type="lastRow">
      <w:tcPr>
        <w:tcBorders>
          <w:top w:val="single" w:color="FFFFFF" w:themeColor="background1" w:sz="18" w:space="0"/>
          <w:left w:val="nil"/>
          <w:bottom w:val="nil"/>
          <w:right w:val="nil"/>
          <w:insideH w:val="nil"/>
          <w:insideV w:val="nil"/>
        </w:tcBorders>
        <w:shd w:val="clear" w:color="auto" w:fill="622423" w:themeFill="accent2" w:themeFillShade="7F"/>
      </w:tcPr>
    </w:tblStylePr>
    <w:tblStylePr w:type="firstCol">
      <w:tcPr>
        <w:tcBorders>
          <w:top w:val="nil"/>
          <w:left w:val="nil"/>
          <w:bottom w:val="nil"/>
          <w:right w:val="single" w:color="FFFFFF" w:themeColor="background1" w:sz="18" w:space="0"/>
          <w:insideH w:val="nil"/>
          <w:insideV w:val="nil"/>
        </w:tcBorders>
        <w:shd w:val="clear" w:color="auto" w:fill="943734" w:themeFill="accent2" w:themeFillShade="BF"/>
      </w:tcPr>
    </w:tblStylePr>
    <w:tblStylePr w:type="lastCol">
      <w:tcPr>
        <w:tcBorders>
          <w:top w:val="nil"/>
          <w:left w:val="single" w:color="FFFFFF" w:themeColor="background1" w:sz="18" w:space="0"/>
          <w:bottom w:val="nil"/>
          <w:right w:val="nil"/>
          <w:insideH w:val="nil"/>
          <w:insideV w:val="nil"/>
        </w:tcBorders>
        <w:shd w:val="clear" w:color="auto" w:fill="943734" w:themeFill="accent2" w:themeFillShade="BF"/>
      </w:tcPr>
    </w:tblStylePr>
    <w:tblStylePr w:type="band1Vert">
      <w:tcPr>
        <w:tcBorders>
          <w:top w:val="nil"/>
          <w:left w:val="nil"/>
          <w:bottom w:val="nil"/>
          <w:right w:val="nil"/>
          <w:insideH w:val="nil"/>
          <w:insideV w:val="nil"/>
        </w:tcBorders>
        <w:shd w:val="clear" w:color="auto" w:fill="943734" w:themeFill="accent2" w:themeFillShade="BF"/>
      </w:tcPr>
    </w:tblStylePr>
    <w:tblStylePr w:type="band1Horz">
      <w:tcPr>
        <w:tcBorders>
          <w:top w:val="nil"/>
          <w:left w:val="nil"/>
          <w:bottom w:val="nil"/>
          <w:right w:val="nil"/>
          <w:insideH w:val="nil"/>
          <w:insideV w:val="nil"/>
        </w:tcBorders>
        <w:shd w:val="clear" w:color="auto" w:fill="943734" w:themeFill="accent2" w:themeFillShade="BF"/>
      </w:tcPr>
    </w:tblStylePr>
  </w:style>
  <w:style w:type="table" w:styleId="139">
    <w:name w:val="Dark List Accent 3"/>
    <w:basedOn w:val="12"/>
    <w:uiPriority w:val="70"/>
    <w:pPr>
      <w:spacing w:after="0" w:line="240" w:lineRule="auto"/>
    </w:pPr>
    <w:rPr>
      <w:color w:val="FFFFFF" w:themeColor="background1"/>
      <w14:textFill>
        <w14:solidFill>
          <w14:schemeClr w14:val="bg1"/>
        </w14:solidFill>
      </w14:textFill>
    </w:rPr>
    <w:tcPr>
      <w:shd w:val="clear" w:color="auto" w:fill="9BBB59" w:themeFill="accent3"/>
    </w:tcPr>
    <w:tblStylePr w:type="firstRow">
      <w:rPr>
        <w:b/>
        <w:bCs/>
      </w:rPr>
      <w:tcPr>
        <w:tcBorders>
          <w:top w:val="nil"/>
          <w:left w:val="nil"/>
          <w:bottom w:val="single" w:color="FFFFFF" w:themeColor="background1" w:sz="18" w:space="0"/>
          <w:right w:val="nil"/>
          <w:insideH w:val="nil"/>
          <w:insideV w:val="nil"/>
        </w:tcBorders>
        <w:shd w:val="clear" w:color="auto" w:fill="000000" w:themeFill="text1"/>
      </w:tcPr>
    </w:tblStylePr>
    <w:tblStylePr w:type="lastRow">
      <w:tcPr>
        <w:tcBorders>
          <w:top w:val="single" w:color="FFFFFF" w:themeColor="background1" w:sz="18" w:space="0"/>
          <w:left w:val="nil"/>
          <w:bottom w:val="nil"/>
          <w:right w:val="nil"/>
          <w:insideH w:val="nil"/>
          <w:insideV w:val="nil"/>
        </w:tcBorders>
        <w:shd w:val="clear" w:color="auto" w:fill="4E6127" w:themeFill="accent3" w:themeFillShade="7F"/>
      </w:tcPr>
    </w:tblStylePr>
    <w:tblStylePr w:type="firstCol">
      <w:tcPr>
        <w:tcBorders>
          <w:top w:val="nil"/>
          <w:left w:val="nil"/>
          <w:bottom w:val="nil"/>
          <w:right w:val="single" w:color="FFFFFF" w:themeColor="background1" w:sz="18" w:space="0"/>
          <w:insideH w:val="nil"/>
          <w:insideV w:val="nil"/>
        </w:tcBorders>
        <w:shd w:val="clear" w:color="auto" w:fill="76923C" w:themeFill="accent3" w:themeFillShade="BF"/>
      </w:tcPr>
    </w:tblStylePr>
    <w:tblStylePr w:type="lastCol">
      <w:tcPr>
        <w:tcBorders>
          <w:top w:val="nil"/>
          <w:left w:val="single" w:color="FFFFFF" w:themeColor="background1" w:sz="18" w:space="0"/>
          <w:bottom w:val="nil"/>
          <w:right w:val="nil"/>
          <w:insideH w:val="nil"/>
          <w:insideV w:val="nil"/>
        </w:tcBorders>
        <w:shd w:val="clear" w:color="auto" w:fill="76923C" w:themeFill="accent3" w:themeFillShade="BF"/>
      </w:tcPr>
    </w:tblStylePr>
    <w:tblStylePr w:type="band1Vert">
      <w:tcPr>
        <w:tcBorders>
          <w:top w:val="nil"/>
          <w:left w:val="nil"/>
          <w:bottom w:val="nil"/>
          <w:right w:val="nil"/>
          <w:insideH w:val="nil"/>
          <w:insideV w:val="nil"/>
        </w:tcBorders>
        <w:shd w:val="clear" w:color="auto" w:fill="76923C" w:themeFill="accent3" w:themeFillShade="BF"/>
      </w:tcPr>
    </w:tblStylePr>
    <w:tblStylePr w:type="band1Horz">
      <w:tcPr>
        <w:tcBorders>
          <w:top w:val="nil"/>
          <w:left w:val="nil"/>
          <w:bottom w:val="nil"/>
          <w:right w:val="nil"/>
          <w:insideH w:val="nil"/>
          <w:insideV w:val="nil"/>
        </w:tcBorders>
        <w:shd w:val="clear" w:color="auto" w:fill="76923C" w:themeFill="accent3" w:themeFillShade="BF"/>
      </w:tcPr>
    </w:tblStylePr>
  </w:style>
  <w:style w:type="table" w:styleId="140">
    <w:name w:val="Dark List Accent 4"/>
    <w:basedOn w:val="12"/>
    <w:uiPriority w:val="70"/>
    <w:pPr>
      <w:spacing w:after="0" w:line="240" w:lineRule="auto"/>
    </w:pPr>
    <w:rPr>
      <w:color w:val="FFFFFF" w:themeColor="background1"/>
      <w14:textFill>
        <w14:solidFill>
          <w14:schemeClr w14:val="bg1"/>
        </w14:solidFill>
      </w14:textFill>
    </w:rPr>
    <w:tcPr>
      <w:shd w:val="clear" w:color="auto" w:fill="8064A2" w:themeFill="accent4"/>
    </w:tcPr>
    <w:tblStylePr w:type="firstRow">
      <w:rPr>
        <w:b/>
        <w:bCs/>
      </w:rPr>
      <w:tcPr>
        <w:tcBorders>
          <w:top w:val="nil"/>
          <w:left w:val="nil"/>
          <w:bottom w:val="single" w:color="FFFFFF" w:themeColor="background1" w:sz="18" w:space="0"/>
          <w:right w:val="nil"/>
          <w:insideH w:val="nil"/>
          <w:insideV w:val="nil"/>
        </w:tcBorders>
        <w:shd w:val="clear" w:color="auto" w:fill="000000" w:themeFill="text1"/>
      </w:tcPr>
    </w:tblStylePr>
    <w:tblStylePr w:type="lastRow">
      <w:tcPr>
        <w:tcBorders>
          <w:top w:val="single" w:color="FFFFFF" w:themeColor="background1" w:sz="18" w:space="0"/>
          <w:left w:val="nil"/>
          <w:bottom w:val="nil"/>
          <w:right w:val="nil"/>
          <w:insideH w:val="nil"/>
          <w:insideV w:val="nil"/>
        </w:tcBorders>
        <w:shd w:val="clear" w:color="auto" w:fill="3F3051" w:themeFill="accent4" w:themeFillShade="7F"/>
      </w:tcPr>
    </w:tblStylePr>
    <w:tblStylePr w:type="firstCol">
      <w:tcPr>
        <w:tcBorders>
          <w:top w:val="nil"/>
          <w:left w:val="nil"/>
          <w:bottom w:val="nil"/>
          <w:right w:val="single" w:color="FFFFFF" w:themeColor="background1" w:sz="18" w:space="0"/>
          <w:insideH w:val="nil"/>
          <w:insideV w:val="nil"/>
        </w:tcBorders>
        <w:shd w:val="clear" w:color="auto" w:fill="5F497A" w:themeFill="accent4" w:themeFillShade="BF"/>
      </w:tcPr>
    </w:tblStylePr>
    <w:tblStylePr w:type="lastCol">
      <w:tcPr>
        <w:tcBorders>
          <w:top w:val="nil"/>
          <w:left w:val="single" w:color="FFFFFF" w:themeColor="background1" w:sz="18" w:space="0"/>
          <w:bottom w:val="nil"/>
          <w:right w:val="nil"/>
          <w:insideH w:val="nil"/>
          <w:insideV w:val="nil"/>
        </w:tcBorders>
        <w:shd w:val="clear" w:color="auto" w:fill="5F497A" w:themeFill="accent4" w:themeFillShade="BF"/>
      </w:tcPr>
    </w:tblStylePr>
    <w:tblStylePr w:type="band1Vert">
      <w:tcPr>
        <w:tcBorders>
          <w:top w:val="nil"/>
          <w:left w:val="nil"/>
          <w:bottom w:val="nil"/>
          <w:right w:val="nil"/>
          <w:insideH w:val="nil"/>
          <w:insideV w:val="nil"/>
        </w:tcBorders>
        <w:shd w:val="clear" w:color="auto" w:fill="5F497A" w:themeFill="accent4" w:themeFillShade="BF"/>
      </w:tcPr>
    </w:tblStylePr>
    <w:tblStylePr w:type="band1Horz">
      <w:tcPr>
        <w:tcBorders>
          <w:top w:val="nil"/>
          <w:left w:val="nil"/>
          <w:bottom w:val="nil"/>
          <w:right w:val="nil"/>
          <w:insideH w:val="nil"/>
          <w:insideV w:val="nil"/>
        </w:tcBorders>
        <w:shd w:val="clear" w:color="auto" w:fill="5F497A" w:themeFill="accent4" w:themeFillShade="BF"/>
      </w:tcPr>
    </w:tblStylePr>
  </w:style>
  <w:style w:type="table" w:styleId="141">
    <w:name w:val="Dark List Accent 5"/>
    <w:basedOn w:val="12"/>
    <w:uiPriority w:val="70"/>
    <w:pPr>
      <w:spacing w:after="0" w:line="240" w:lineRule="auto"/>
    </w:pPr>
    <w:rPr>
      <w:color w:val="FFFFFF" w:themeColor="background1"/>
      <w14:textFill>
        <w14:solidFill>
          <w14:schemeClr w14:val="bg1"/>
        </w14:solidFill>
      </w14:textFill>
    </w:rPr>
    <w:tcPr>
      <w:shd w:val="clear" w:color="auto" w:fill="4BACC6" w:themeFill="accent5"/>
    </w:tcPr>
    <w:tblStylePr w:type="firstRow">
      <w:rPr>
        <w:b/>
        <w:bCs/>
      </w:rPr>
      <w:tcPr>
        <w:tcBorders>
          <w:top w:val="nil"/>
          <w:left w:val="nil"/>
          <w:bottom w:val="single" w:color="FFFFFF" w:themeColor="background1" w:sz="18" w:space="0"/>
          <w:right w:val="nil"/>
          <w:insideH w:val="nil"/>
          <w:insideV w:val="nil"/>
        </w:tcBorders>
        <w:shd w:val="clear" w:color="auto" w:fill="000000" w:themeFill="text1"/>
      </w:tcPr>
    </w:tblStylePr>
    <w:tblStylePr w:type="lastRow">
      <w:tcPr>
        <w:tcBorders>
          <w:top w:val="single" w:color="FFFFFF" w:themeColor="background1" w:sz="18" w:space="0"/>
          <w:left w:val="nil"/>
          <w:bottom w:val="nil"/>
          <w:right w:val="nil"/>
          <w:insideH w:val="nil"/>
          <w:insideV w:val="nil"/>
        </w:tcBorders>
        <w:shd w:val="clear" w:color="auto" w:fill="205867" w:themeFill="accent5" w:themeFillShade="7F"/>
      </w:tcPr>
    </w:tblStylePr>
    <w:tblStylePr w:type="firstCol">
      <w:tcPr>
        <w:tcBorders>
          <w:top w:val="nil"/>
          <w:left w:val="nil"/>
          <w:bottom w:val="nil"/>
          <w:right w:val="single" w:color="FFFFFF" w:themeColor="background1" w:sz="18" w:space="0"/>
          <w:insideH w:val="nil"/>
          <w:insideV w:val="nil"/>
        </w:tcBorders>
        <w:shd w:val="clear" w:color="auto" w:fill="31849B" w:themeFill="accent5" w:themeFillShade="BF"/>
      </w:tcPr>
    </w:tblStylePr>
    <w:tblStylePr w:type="lastCol">
      <w:tcPr>
        <w:tcBorders>
          <w:top w:val="nil"/>
          <w:left w:val="single" w:color="FFFFFF" w:themeColor="background1" w:sz="18" w:space="0"/>
          <w:bottom w:val="nil"/>
          <w:right w:val="nil"/>
          <w:insideH w:val="nil"/>
          <w:insideV w:val="nil"/>
        </w:tcBorders>
        <w:shd w:val="clear" w:color="auto" w:fill="31849B" w:themeFill="accent5" w:themeFillShade="BF"/>
      </w:tcPr>
    </w:tblStylePr>
    <w:tblStylePr w:type="band1Vert">
      <w:tcPr>
        <w:tcBorders>
          <w:top w:val="nil"/>
          <w:left w:val="nil"/>
          <w:bottom w:val="nil"/>
          <w:right w:val="nil"/>
          <w:insideH w:val="nil"/>
          <w:insideV w:val="nil"/>
        </w:tcBorders>
        <w:shd w:val="clear" w:color="auto" w:fill="31849B" w:themeFill="accent5" w:themeFillShade="BF"/>
      </w:tcPr>
    </w:tblStylePr>
    <w:tblStylePr w:type="band1Horz">
      <w:tcPr>
        <w:tcBorders>
          <w:top w:val="nil"/>
          <w:left w:val="nil"/>
          <w:bottom w:val="nil"/>
          <w:right w:val="nil"/>
          <w:insideH w:val="nil"/>
          <w:insideV w:val="nil"/>
        </w:tcBorders>
        <w:shd w:val="clear" w:color="auto" w:fill="31849B" w:themeFill="accent5" w:themeFillShade="BF"/>
      </w:tcPr>
    </w:tblStylePr>
  </w:style>
  <w:style w:type="table" w:styleId="142">
    <w:name w:val="Dark List Accent 6"/>
    <w:basedOn w:val="12"/>
    <w:uiPriority w:val="70"/>
    <w:pPr>
      <w:spacing w:after="0" w:line="240" w:lineRule="auto"/>
    </w:pPr>
    <w:rPr>
      <w:color w:val="FFFFFF" w:themeColor="background1"/>
      <w14:textFill>
        <w14:solidFill>
          <w14:schemeClr w14:val="bg1"/>
        </w14:solidFill>
      </w14:textFill>
    </w:rPr>
    <w:tcPr>
      <w:shd w:val="clear" w:color="auto" w:fill="F79646" w:themeFill="accent6"/>
    </w:tcPr>
    <w:tblStylePr w:type="firstRow">
      <w:rPr>
        <w:b/>
        <w:bCs/>
      </w:rPr>
      <w:tcPr>
        <w:tcBorders>
          <w:top w:val="nil"/>
          <w:left w:val="nil"/>
          <w:bottom w:val="single" w:color="FFFFFF" w:themeColor="background1" w:sz="18" w:space="0"/>
          <w:right w:val="nil"/>
          <w:insideH w:val="nil"/>
          <w:insideV w:val="nil"/>
        </w:tcBorders>
        <w:shd w:val="clear" w:color="auto" w:fill="000000" w:themeFill="text1"/>
      </w:tcPr>
    </w:tblStylePr>
    <w:tblStylePr w:type="lastRow">
      <w:tcPr>
        <w:tcBorders>
          <w:top w:val="single" w:color="FFFFFF" w:themeColor="background1" w:sz="18" w:space="0"/>
          <w:left w:val="nil"/>
          <w:bottom w:val="nil"/>
          <w:right w:val="nil"/>
          <w:insideH w:val="nil"/>
          <w:insideV w:val="nil"/>
        </w:tcBorders>
        <w:shd w:val="clear" w:color="auto" w:fill="974706" w:themeFill="accent6" w:themeFillShade="7F"/>
      </w:tcPr>
    </w:tblStylePr>
    <w:tblStylePr w:type="firstCol">
      <w:tcPr>
        <w:tcBorders>
          <w:top w:val="nil"/>
          <w:left w:val="nil"/>
          <w:bottom w:val="nil"/>
          <w:right w:val="single" w:color="FFFFFF" w:themeColor="background1" w:sz="18" w:space="0"/>
          <w:insideH w:val="nil"/>
          <w:insideV w:val="nil"/>
        </w:tcBorders>
        <w:shd w:val="clear" w:color="auto" w:fill="E36C09" w:themeFill="accent6" w:themeFillShade="BF"/>
      </w:tcPr>
    </w:tblStylePr>
    <w:tblStylePr w:type="lastCol">
      <w:tcPr>
        <w:tcBorders>
          <w:top w:val="nil"/>
          <w:left w:val="single" w:color="FFFFFF" w:themeColor="background1" w:sz="18" w:space="0"/>
          <w:bottom w:val="nil"/>
          <w:right w:val="nil"/>
          <w:insideH w:val="nil"/>
          <w:insideV w:val="nil"/>
        </w:tcBorders>
        <w:shd w:val="clear" w:color="auto" w:fill="E36C09" w:themeFill="accent6" w:themeFillShade="BF"/>
      </w:tcPr>
    </w:tblStylePr>
    <w:tblStylePr w:type="band1Vert">
      <w:tcPr>
        <w:tcBorders>
          <w:top w:val="nil"/>
          <w:left w:val="nil"/>
          <w:bottom w:val="nil"/>
          <w:right w:val="nil"/>
          <w:insideH w:val="nil"/>
          <w:insideV w:val="nil"/>
        </w:tcBorders>
        <w:shd w:val="clear" w:color="auto" w:fill="E36C09" w:themeFill="accent6" w:themeFillShade="BF"/>
      </w:tcPr>
    </w:tblStylePr>
    <w:tblStylePr w:type="band1Horz">
      <w:tcPr>
        <w:tcBorders>
          <w:top w:val="nil"/>
          <w:left w:val="nil"/>
          <w:bottom w:val="nil"/>
          <w:right w:val="nil"/>
          <w:insideH w:val="nil"/>
          <w:insideV w:val="nil"/>
        </w:tcBorders>
        <w:shd w:val="clear" w:color="auto" w:fill="E36C09" w:themeFill="accent6" w:themeFillShade="BF"/>
      </w:tcPr>
    </w:tblStylePr>
  </w:style>
  <w:style w:type="table" w:styleId="143">
    <w:name w:val="Colorful Shading"/>
    <w:basedOn w:val="12"/>
    <w:uiPriority w:val="71"/>
    <w:pPr>
      <w:spacing w:after="0" w:line="240" w:lineRule="auto"/>
    </w:pPr>
    <w:rPr>
      <w:color w:val="000000" w:themeColor="text1"/>
      <w14:textFill>
        <w14:solidFill>
          <w14:schemeClr w14:val="tx1"/>
        </w14:solidFill>
      </w14:textFill>
    </w:rPr>
    <w:tblPr>
      <w:tblBorders>
        <w:top w:val="single" w:color="C0504D"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Pr>
    <w:tcPr>
      <w:shd w:val="clear" w:color="auto" w:fill="E5E5E5" w:themeFill="text1" w:themeFillTint="19"/>
    </w:tcPr>
    <w:tblStylePr w:type="firstRow">
      <w:rPr>
        <w:b/>
        <w:bCs/>
      </w:r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cPr>
        <w:tcBorders>
          <w:top w:val="single" w:color="FFFFFF" w:themeColor="background1" w:sz="6" w:space="0"/>
        </w:tcBorders>
        <w:shd w:val="clear" w:color="auto" w:fill="000000" w:themeFill="text1" w:themeFillShade="99"/>
      </w:tcPr>
    </w:tblStylePr>
    <w:tblStylePr w:type="firstCol">
      <w:rPr>
        <w:color w:val="FFFFFF" w:themeColor="background1"/>
        <w14:textFill>
          <w14:solidFill>
            <w14:schemeClr w14:val="bg1"/>
          </w14:solidFill>
        </w14:textFill>
      </w:rPr>
      <w:tcPr>
        <w:tcBorders>
          <w:top w:val="nil"/>
          <w:left w:val="nil"/>
          <w:bottom w:val="nil"/>
          <w:right w:val="nil"/>
          <w:insideH w:val="single" w:sz="4" w:space="0"/>
          <w:insideV w:val="nil"/>
        </w:tcBorders>
        <w:shd w:val="clear" w:color="auto" w:fill="000000" w:themeFill="text1" w:themeFillShade="99"/>
      </w:tcPr>
    </w:tblStylePr>
    <w:tblStylePr w:type="lastCol">
      <w:rPr>
        <w:color w:val="FFFFFF" w:themeColor="background1"/>
        <w14:textFill>
          <w14:solidFill>
            <w14:schemeClr w14:val="bg1"/>
          </w14:solidFill>
        </w14:textFill>
      </w:rPr>
      <w:tcPr>
        <w:tcBorders>
          <w:top w:val="nil"/>
          <w:left w:val="nil"/>
          <w:bottom w:val="nil"/>
          <w:right w:val="nil"/>
          <w:insideH w:val="nil"/>
          <w:insideV w:val="nil"/>
        </w:tcBorders>
        <w:shd w:val="clear" w:color="auto" w:fill="000000" w:themeFill="text1" w:themeFillShade="BF"/>
      </w:tcPr>
    </w:tblStylePr>
    <w:tblStylePr w:type="band1Vert">
      <w:tcPr>
        <w:shd w:val="clear" w:color="auto" w:fill="999999" w:themeFill="text1" w:themeFillTint="66"/>
      </w:tcPr>
    </w:tblStylePr>
    <w:tblStylePr w:type="band1Horz">
      <w:tcPr>
        <w:shd w:val="clear" w:color="auto" w:fill="7F7F7F" w:themeFill="text1" w:themeFillTint="7F"/>
      </w:tcPr>
    </w:tblStylePr>
    <w:tblStylePr w:type="neCell">
      <w:rPr>
        <w:color w:val="000000" w:themeColor="text1"/>
        <w14:textFill>
          <w14:solidFill>
            <w14:schemeClr w14:val="tx1"/>
          </w14:solidFill>
        </w14:textFill>
      </w:rPr>
    </w:tblStylePr>
    <w:tblStylePr w:type="nwCell">
      <w:rPr>
        <w:color w:val="000000" w:themeColor="text1"/>
        <w14:textFill>
          <w14:solidFill>
            <w14:schemeClr w14:val="tx1"/>
          </w14:solidFill>
        </w14:textFill>
      </w:rPr>
    </w:tblStylePr>
  </w:style>
  <w:style w:type="table" w:styleId="144">
    <w:name w:val="Colorful Shading Accent 1"/>
    <w:basedOn w:val="12"/>
    <w:uiPriority w:val="71"/>
    <w:pPr>
      <w:spacing w:after="0" w:line="240" w:lineRule="auto"/>
    </w:pPr>
    <w:rPr>
      <w:color w:val="000000" w:themeColor="text1"/>
      <w14:textFill>
        <w14:solidFill>
          <w14:schemeClr w14:val="tx1"/>
        </w14:solidFill>
      </w14:textFill>
    </w:rPr>
    <w:tblPr>
      <w:tblBorders>
        <w:top w:val="single" w:color="C0504D" w:themeColor="accent2" w:sz="24" w:space="0"/>
        <w:left w:val="single" w:color="4F81BD" w:themeColor="accent1" w:sz="4" w:space="0"/>
        <w:bottom w:val="single" w:color="4F81BD" w:themeColor="accent1" w:sz="4" w:space="0"/>
        <w:right w:val="single" w:color="4F81BD" w:themeColor="accent1" w:sz="4" w:space="0"/>
        <w:insideH w:val="single" w:color="FFFFFF" w:themeColor="background1" w:sz="4" w:space="0"/>
        <w:insideV w:val="single" w:color="FFFFFF" w:themeColor="background1" w:sz="4" w:space="0"/>
      </w:tblBorders>
    </w:tblPr>
    <w:tcPr>
      <w:shd w:val="clear" w:color="auto" w:fill="EDF2F8" w:themeFill="accent1" w:themeFillTint="19"/>
    </w:tcPr>
    <w:tblStylePr w:type="firstRow">
      <w:rPr>
        <w:b/>
        <w:bCs/>
      </w:r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cPr>
        <w:tcBorders>
          <w:top w:val="single" w:color="FFFFFF" w:themeColor="background1" w:sz="6" w:space="0"/>
        </w:tcBorders>
        <w:shd w:val="clear" w:color="auto" w:fill="2B4D74" w:themeFill="accent1" w:themeFillShade="99"/>
      </w:tcPr>
    </w:tblStylePr>
    <w:tblStylePr w:type="firstCol">
      <w:rPr>
        <w:color w:val="FFFFFF" w:themeColor="background1"/>
        <w14:textFill>
          <w14:solidFill>
            <w14:schemeClr w14:val="bg1"/>
          </w14:solidFill>
        </w14:textFill>
      </w:rPr>
      <w:tcPr>
        <w:tcBorders>
          <w:top w:val="nil"/>
          <w:left w:val="nil"/>
          <w:bottom w:val="nil"/>
          <w:right w:val="nil"/>
          <w:insideH w:val="single" w:sz="4" w:space="0"/>
          <w:insideV w:val="nil"/>
        </w:tcBorders>
        <w:shd w:val="clear" w:color="auto" w:fill="2B4D74" w:themeFill="accent1" w:themeFillShade="99"/>
      </w:tcPr>
    </w:tblStylePr>
    <w:tblStylePr w:type="lastCol">
      <w:rPr>
        <w:color w:val="FFFFFF" w:themeColor="background1"/>
        <w14:textFill>
          <w14:solidFill>
            <w14:schemeClr w14:val="bg1"/>
          </w14:solidFill>
        </w14:textFill>
      </w:rPr>
      <w:tcPr>
        <w:tcBorders>
          <w:top w:val="nil"/>
          <w:left w:val="nil"/>
          <w:bottom w:val="nil"/>
          <w:right w:val="nil"/>
          <w:insideH w:val="nil"/>
          <w:insideV w:val="nil"/>
        </w:tcBorders>
        <w:shd w:val="clear" w:color="auto" w:fill="2B4D74" w:themeFill="accent1" w:themeFillShade="99"/>
      </w:tcPr>
    </w:tblStylePr>
    <w:tblStylePr w:type="band1Vert">
      <w:tcPr>
        <w:shd w:val="clear" w:color="auto" w:fill="B8CCE4" w:themeFill="accent1" w:themeFillTint="66"/>
      </w:tcPr>
    </w:tblStylePr>
    <w:tblStylePr w:type="band1Horz">
      <w:tcPr>
        <w:shd w:val="clear" w:color="auto" w:fill="A7C0DE" w:themeFill="accent1" w:themeFillTint="7F"/>
      </w:tcPr>
    </w:tblStylePr>
    <w:tblStylePr w:type="neCell">
      <w:rPr>
        <w:color w:val="000000" w:themeColor="text1"/>
        <w14:textFill>
          <w14:solidFill>
            <w14:schemeClr w14:val="tx1"/>
          </w14:solidFill>
        </w14:textFill>
      </w:rPr>
    </w:tblStylePr>
    <w:tblStylePr w:type="nwCell">
      <w:rPr>
        <w:color w:val="000000" w:themeColor="text1"/>
        <w14:textFill>
          <w14:solidFill>
            <w14:schemeClr w14:val="tx1"/>
          </w14:solidFill>
        </w14:textFill>
      </w:rPr>
    </w:tblStylePr>
  </w:style>
  <w:style w:type="table" w:styleId="145">
    <w:name w:val="Colorful Shading Accent 2"/>
    <w:basedOn w:val="12"/>
    <w:uiPriority w:val="71"/>
    <w:pPr>
      <w:spacing w:after="0" w:line="240" w:lineRule="auto"/>
    </w:pPr>
    <w:rPr>
      <w:color w:val="000000" w:themeColor="text1"/>
      <w14:textFill>
        <w14:solidFill>
          <w14:schemeClr w14:val="tx1"/>
        </w14:solidFill>
      </w14:textFill>
    </w:rPr>
    <w:tblPr>
      <w:tblBorders>
        <w:top w:val="single" w:color="C0504D" w:themeColor="accent2" w:sz="24" w:space="0"/>
        <w:left w:val="single" w:color="C0504D" w:themeColor="accent2" w:sz="4" w:space="0"/>
        <w:bottom w:val="single" w:color="C0504D" w:themeColor="accent2" w:sz="4" w:space="0"/>
        <w:right w:val="single" w:color="C0504D" w:themeColor="accent2" w:sz="4" w:space="0"/>
        <w:insideH w:val="single" w:color="FFFFFF" w:themeColor="background1" w:sz="4" w:space="0"/>
        <w:insideV w:val="single" w:color="FFFFFF" w:themeColor="background1" w:sz="4" w:space="0"/>
      </w:tblBorders>
    </w:tblPr>
    <w:tcPr>
      <w:shd w:val="clear" w:color="auto" w:fill="F8EDED" w:themeFill="accent2" w:themeFillTint="19"/>
    </w:tcPr>
    <w:tblStylePr w:type="firstRow">
      <w:rPr>
        <w:b/>
        <w:bCs/>
      </w:r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cPr>
        <w:tcBorders>
          <w:top w:val="single" w:color="FFFFFF" w:themeColor="background1" w:sz="6" w:space="0"/>
        </w:tcBorders>
        <w:shd w:val="clear" w:color="auto" w:fill="772C2A" w:themeFill="accent2" w:themeFillShade="99"/>
      </w:tcPr>
    </w:tblStylePr>
    <w:tblStylePr w:type="firstCol">
      <w:rPr>
        <w:color w:val="FFFFFF" w:themeColor="background1"/>
        <w14:textFill>
          <w14:solidFill>
            <w14:schemeClr w14:val="bg1"/>
          </w14:solidFill>
        </w14:textFill>
      </w:rPr>
      <w:tcPr>
        <w:tcBorders>
          <w:top w:val="nil"/>
          <w:left w:val="nil"/>
          <w:bottom w:val="nil"/>
          <w:right w:val="nil"/>
          <w:insideH w:val="single" w:sz="4" w:space="0"/>
          <w:insideV w:val="nil"/>
        </w:tcBorders>
        <w:shd w:val="clear" w:color="auto" w:fill="772C2A" w:themeFill="accent2" w:themeFillShade="99"/>
      </w:tcPr>
    </w:tblStylePr>
    <w:tblStylePr w:type="lastCol">
      <w:rPr>
        <w:color w:val="FFFFFF" w:themeColor="background1"/>
        <w14:textFill>
          <w14:solidFill>
            <w14:schemeClr w14:val="bg1"/>
          </w14:solidFill>
        </w14:textFill>
      </w:rPr>
      <w:tcPr>
        <w:tcBorders>
          <w:top w:val="nil"/>
          <w:left w:val="nil"/>
          <w:bottom w:val="nil"/>
          <w:right w:val="nil"/>
          <w:insideH w:val="nil"/>
          <w:insideV w:val="nil"/>
        </w:tcBorders>
        <w:shd w:val="clear" w:color="auto" w:fill="772C2A" w:themeFill="accent2" w:themeFillShade="99"/>
      </w:tcPr>
    </w:tblStylePr>
    <w:tblStylePr w:type="band1Vert">
      <w:tcPr>
        <w:shd w:val="clear" w:color="auto" w:fill="E5B8B7" w:themeFill="accent2" w:themeFillTint="66"/>
      </w:tcPr>
    </w:tblStylePr>
    <w:tblStylePr w:type="band1Horz">
      <w:tcPr>
        <w:shd w:val="clear" w:color="auto" w:fill="DFA7A6" w:themeFill="accent2" w:themeFillTint="7F"/>
      </w:tcPr>
    </w:tblStylePr>
    <w:tblStylePr w:type="neCell">
      <w:rPr>
        <w:color w:val="000000" w:themeColor="text1"/>
        <w14:textFill>
          <w14:solidFill>
            <w14:schemeClr w14:val="tx1"/>
          </w14:solidFill>
        </w14:textFill>
      </w:rPr>
    </w:tblStylePr>
    <w:tblStylePr w:type="nwCell">
      <w:rPr>
        <w:color w:val="000000" w:themeColor="text1"/>
        <w14:textFill>
          <w14:solidFill>
            <w14:schemeClr w14:val="tx1"/>
          </w14:solidFill>
        </w14:textFill>
      </w:rPr>
    </w:tblStylePr>
  </w:style>
  <w:style w:type="table" w:styleId="146">
    <w:name w:val="Colorful Shading Accent 3"/>
    <w:basedOn w:val="12"/>
    <w:uiPriority w:val="71"/>
    <w:pPr>
      <w:spacing w:after="0" w:line="240" w:lineRule="auto"/>
    </w:pPr>
    <w:rPr>
      <w:color w:val="000000" w:themeColor="text1"/>
      <w14:textFill>
        <w14:solidFill>
          <w14:schemeClr w14:val="tx1"/>
        </w14:solidFill>
      </w14:textFill>
    </w:rPr>
    <w:tblPr>
      <w:tblBorders>
        <w:top w:val="single" w:color="8064A2" w:themeColor="accent4" w:sz="24" w:space="0"/>
        <w:left w:val="single" w:color="9BBB59" w:themeColor="accent3" w:sz="4" w:space="0"/>
        <w:bottom w:val="single" w:color="9BBB59" w:themeColor="accent3" w:sz="4" w:space="0"/>
        <w:right w:val="single" w:color="9BBB59" w:themeColor="accent3" w:sz="4" w:space="0"/>
        <w:insideH w:val="single" w:color="FFFFFF" w:themeColor="background1" w:sz="4" w:space="0"/>
        <w:insideV w:val="single" w:color="FFFFFF" w:themeColor="background1" w:sz="4" w:space="0"/>
      </w:tblBorders>
    </w:tblPr>
    <w:tcPr>
      <w:shd w:val="clear" w:color="auto" w:fill="F5F8EE" w:themeFill="accent3" w:themeFillTint="19"/>
    </w:tcPr>
    <w:tblStylePr w:type="firstRow">
      <w:rPr>
        <w:b/>
        <w:bCs/>
      </w:rPr>
      <w:tcPr>
        <w:tcBorders>
          <w:top w:val="nil"/>
          <w:left w:val="nil"/>
          <w:bottom w:val="single" w:color="8064A2" w:themeColor="accent4"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cPr>
        <w:tcBorders>
          <w:top w:val="single" w:color="FFFFFF" w:themeColor="background1" w:sz="6" w:space="0"/>
        </w:tcBorders>
        <w:shd w:val="clear" w:color="auto" w:fill="5E7530" w:themeFill="accent3" w:themeFillShade="99"/>
      </w:tcPr>
    </w:tblStylePr>
    <w:tblStylePr w:type="firstCol">
      <w:rPr>
        <w:color w:val="FFFFFF" w:themeColor="background1"/>
        <w14:textFill>
          <w14:solidFill>
            <w14:schemeClr w14:val="bg1"/>
          </w14:solidFill>
        </w14:textFill>
      </w:rPr>
      <w:tcPr>
        <w:tcBorders>
          <w:top w:val="nil"/>
          <w:left w:val="nil"/>
          <w:bottom w:val="nil"/>
          <w:right w:val="nil"/>
          <w:insideH w:val="single" w:sz="4" w:space="0"/>
          <w:insideV w:val="nil"/>
        </w:tcBorders>
        <w:shd w:val="clear" w:color="auto" w:fill="5E7530" w:themeFill="accent3" w:themeFillShade="99"/>
      </w:tcPr>
    </w:tblStylePr>
    <w:tblStylePr w:type="lastCol">
      <w:rPr>
        <w:color w:val="FFFFFF" w:themeColor="background1"/>
        <w14:textFill>
          <w14:solidFill>
            <w14:schemeClr w14:val="bg1"/>
          </w14:solidFill>
        </w14:textFill>
      </w:rPr>
      <w:tcPr>
        <w:tcBorders>
          <w:top w:val="nil"/>
          <w:left w:val="nil"/>
          <w:bottom w:val="nil"/>
          <w:right w:val="nil"/>
          <w:insideH w:val="nil"/>
          <w:insideV w:val="nil"/>
        </w:tcBorders>
        <w:shd w:val="clear" w:color="auto" w:fill="5E7530" w:themeFill="accent3" w:themeFillShade="99"/>
      </w:tcPr>
    </w:tblStylePr>
    <w:tblStylePr w:type="band1Vert">
      <w:tcPr>
        <w:shd w:val="clear" w:color="auto" w:fill="D6E3BC" w:themeFill="accent3" w:themeFillTint="66"/>
      </w:tcPr>
    </w:tblStylePr>
    <w:tblStylePr w:type="band1Horz">
      <w:tcPr>
        <w:shd w:val="clear" w:color="auto" w:fill="CDDDAC" w:themeFill="accent3" w:themeFillTint="7F"/>
      </w:tcPr>
    </w:tblStylePr>
  </w:style>
  <w:style w:type="table" w:styleId="147">
    <w:name w:val="Colorful Shading Accent 4"/>
    <w:basedOn w:val="12"/>
    <w:uiPriority w:val="71"/>
    <w:pPr>
      <w:spacing w:after="0" w:line="240" w:lineRule="auto"/>
    </w:pPr>
    <w:rPr>
      <w:color w:val="000000" w:themeColor="text1"/>
      <w14:textFill>
        <w14:solidFill>
          <w14:schemeClr w14:val="tx1"/>
        </w14:solidFill>
      </w14:textFill>
    </w:rPr>
    <w:tblPr>
      <w:tblBorders>
        <w:top w:val="single" w:color="9BBB59" w:themeColor="accent3" w:sz="24" w:space="0"/>
        <w:left w:val="single" w:color="8064A2" w:themeColor="accent4" w:sz="4" w:space="0"/>
        <w:bottom w:val="single" w:color="8064A2" w:themeColor="accent4" w:sz="4" w:space="0"/>
        <w:right w:val="single" w:color="8064A2" w:themeColor="accent4" w:sz="4" w:space="0"/>
        <w:insideH w:val="single" w:color="FFFFFF" w:themeColor="background1" w:sz="4" w:space="0"/>
        <w:insideV w:val="single" w:color="FFFFFF" w:themeColor="background1" w:sz="4" w:space="0"/>
      </w:tblBorders>
    </w:tblPr>
    <w:tcPr>
      <w:shd w:val="clear" w:color="auto" w:fill="F2EFF5" w:themeFill="accent4" w:themeFillTint="19"/>
    </w:tcPr>
    <w:tblStylePr w:type="firstRow">
      <w:rPr>
        <w:b/>
        <w:bCs/>
      </w:rPr>
      <w:tcPr>
        <w:tcBorders>
          <w:top w:val="nil"/>
          <w:left w:val="nil"/>
          <w:bottom w:val="single" w:color="9BBB59" w:themeColor="accent3"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cPr>
        <w:tcBorders>
          <w:top w:val="single" w:color="FFFFFF" w:themeColor="background1" w:sz="6" w:space="0"/>
        </w:tcBorders>
        <w:shd w:val="clear" w:color="auto" w:fill="4C3A62" w:themeFill="accent4" w:themeFillShade="99"/>
      </w:tcPr>
    </w:tblStylePr>
    <w:tblStylePr w:type="firstCol">
      <w:rPr>
        <w:color w:val="FFFFFF" w:themeColor="background1"/>
        <w14:textFill>
          <w14:solidFill>
            <w14:schemeClr w14:val="bg1"/>
          </w14:solidFill>
        </w14:textFill>
      </w:rPr>
      <w:tcPr>
        <w:tcBorders>
          <w:top w:val="nil"/>
          <w:left w:val="nil"/>
          <w:bottom w:val="nil"/>
          <w:right w:val="nil"/>
          <w:insideH w:val="single" w:sz="4" w:space="0"/>
          <w:insideV w:val="nil"/>
        </w:tcBorders>
        <w:shd w:val="clear" w:color="auto" w:fill="4C3A62" w:themeFill="accent4" w:themeFillShade="99"/>
      </w:tcPr>
    </w:tblStylePr>
    <w:tblStylePr w:type="lastCol">
      <w:rPr>
        <w:color w:val="FFFFFF" w:themeColor="background1"/>
        <w14:textFill>
          <w14:solidFill>
            <w14:schemeClr w14:val="bg1"/>
          </w14:solidFill>
        </w14:textFill>
      </w:rPr>
      <w:tcPr>
        <w:tcBorders>
          <w:top w:val="nil"/>
          <w:left w:val="nil"/>
          <w:bottom w:val="nil"/>
          <w:right w:val="nil"/>
          <w:insideH w:val="nil"/>
          <w:insideV w:val="nil"/>
        </w:tcBorders>
        <w:shd w:val="clear" w:color="auto" w:fill="4C3A62" w:themeFill="accent4" w:themeFillShade="99"/>
      </w:tcPr>
    </w:tblStylePr>
    <w:tblStylePr w:type="band1Vert">
      <w:tcPr>
        <w:shd w:val="clear" w:color="auto" w:fill="CCC0D9" w:themeFill="accent4" w:themeFillTint="66"/>
      </w:tcPr>
    </w:tblStylePr>
    <w:tblStylePr w:type="band1Horz">
      <w:tcPr>
        <w:shd w:val="clear" w:color="auto" w:fill="BFB1D0" w:themeFill="accent4" w:themeFillTint="7F"/>
      </w:tcPr>
    </w:tblStylePr>
    <w:tblStylePr w:type="neCell">
      <w:rPr>
        <w:color w:val="000000" w:themeColor="text1"/>
        <w14:textFill>
          <w14:solidFill>
            <w14:schemeClr w14:val="tx1"/>
          </w14:solidFill>
        </w14:textFill>
      </w:rPr>
    </w:tblStylePr>
    <w:tblStylePr w:type="nwCell">
      <w:rPr>
        <w:color w:val="000000" w:themeColor="text1"/>
        <w14:textFill>
          <w14:solidFill>
            <w14:schemeClr w14:val="tx1"/>
          </w14:solidFill>
        </w14:textFill>
      </w:rPr>
    </w:tblStylePr>
  </w:style>
  <w:style w:type="table" w:styleId="148">
    <w:name w:val="Colorful Shading Accent 5"/>
    <w:basedOn w:val="12"/>
    <w:uiPriority w:val="71"/>
    <w:pPr>
      <w:spacing w:after="0" w:line="240" w:lineRule="auto"/>
    </w:pPr>
    <w:rPr>
      <w:color w:val="000000" w:themeColor="text1"/>
      <w14:textFill>
        <w14:solidFill>
          <w14:schemeClr w14:val="tx1"/>
        </w14:solidFill>
      </w14:textFill>
    </w:rPr>
    <w:tblPr>
      <w:tblBorders>
        <w:top w:val="single" w:color="F79646" w:themeColor="accent6" w:sz="24" w:space="0"/>
        <w:left w:val="single" w:color="4BACC6" w:themeColor="accent5" w:sz="4" w:space="0"/>
        <w:bottom w:val="single" w:color="4BACC6" w:themeColor="accent5" w:sz="4" w:space="0"/>
        <w:right w:val="single" w:color="4BACC6" w:themeColor="accent5" w:sz="4" w:space="0"/>
        <w:insideH w:val="single" w:color="FFFFFF" w:themeColor="background1" w:sz="4" w:space="0"/>
        <w:insideV w:val="single" w:color="FFFFFF" w:themeColor="background1" w:sz="4" w:space="0"/>
      </w:tblBorders>
    </w:tblPr>
    <w:tcPr>
      <w:shd w:val="clear" w:color="auto" w:fill="EDF6F9" w:themeFill="accent5" w:themeFillTint="19"/>
    </w:tcPr>
    <w:tblStylePr w:type="firstRow">
      <w:rPr>
        <w:b/>
        <w:bCs/>
      </w:rPr>
      <w:tcPr>
        <w:tcBorders>
          <w:top w:val="nil"/>
          <w:left w:val="nil"/>
          <w:bottom w:val="single" w:color="F79646" w:themeColor="accent6"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cPr>
        <w:tcBorders>
          <w:top w:val="single" w:color="FFFFFF" w:themeColor="background1" w:sz="6" w:space="0"/>
        </w:tcBorders>
        <w:shd w:val="clear" w:color="auto" w:fill="276A7C" w:themeFill="accent5" w:themeFillShade="99"/>
      </w:tcPr>
    </w:tblStylePr>
    <w:tblStylePr w:type="firstCol">
      <w:rPr>
        <w:color w:val="FFFFFF" w:themeColor="background1"/>
        <w14:textFill>
          <w14:solidFill>
            <w14:schemeClr w14:val="bg1"/>
          </w14:solidFill>
        </w14:textFill>
      </w:rPr>
      <w:tcPr>
        <w:tcBorders>
          <w:top w:val="nil"/>
          <w:left w:val="nil"/>
          <w:bottom w:val="nil"/>
          <w:right w:val="nil"/>
          <w:insideH w:val="single" w:sz="4" w:space="0"/>
          <w:insideV w:val="nil"/>
        </w:tcBorders>
        <w:shd w:val="clear" w:color="auto" w:fill="276A7C" w:themeFill="accent5" w:themeFillShade="99"/>
      </w:tcPr>
    </w:tblStylePr>
    <w:tblStylePr w:type="lastCol">
      <w:rPr>
        <w:color w:val="FFFFFF" w:themeColor="background1"/>
        <w14:textFill>
          <w14:solidFill>
            <w14:schemeClr w14:val="bg1"/>
          </w14:solidFill>
        </w14:textFill>
      </w:rPr>
      <w:tcPr>
        <w:tcBorders>
          <w:top w:val="nil"/>
          <w:left w:val="nil"/>
          <w:bottom w:val="nil"/>
          <w:right w:val="nil"/>
          <w:insideH w:val="nil"/>
          <w:insideV w:val="nil"/>
        </w:tcBorders>
        <w:shd w:val="clear" w:color="auto" w:fill="276A7C" w:themeFill="accent5" w:themeFillShade="99"/>
      </w:tcPr>
    </w:tblStylePr>
    <w:tblStylePr w:type="band1Vert">
      <w:tcPr>
        <w:shd w:val="clear" w:color="auto" w:fill="B6DDE8" w:themeFill="accent5" w:themeFillTint="66"/>
      </w:tcPr>
    </w:tblStylePr>
    <w:tblStylePr w:type="band1Horz">
      <w:tcPr>
        <w:shd w:val="clear" w:color="auto" w:fill="A5D5E2" w:themeFill="accent5" w:themeFillTint="7F"/>
      </w:tcPr>
    </w:tblStylePr>
    <w:tblStylePr w:type="neCell">
      <w:rPr>
        <w:color w:val="000000" w:themeColor="text1"/>
        <w14:textFill>
          <w14:solidFill>
            <w14:schemeClr w14:val="tx1"/>
          </w14:solidFill>
        </w14:textFill>
      </w:rPr>
    </w:tblStylePr>
    <w:tblStylePr w:type="nwCell">
      <w:rPr>
        <w:color w:val="000000" w:themeColor="text1"/>
        <w14:textFill>
          <w14:solidFill>
            <w14:schemeClr w14:val="tx1"/>
          </w14:solidFill>
        </w14:textFill>
      </w:rPr>
    </w:tblStylePr>
  </w:style>
  <w:style w:type="table" w:styleId="149">
    <w:name w:val="Colorful Shading Accent 6"/>
    <w:basedOn w:val="12"/>
    <w:uiPriority w:val="71"/>
    <w:pPr>
      <w:spacing w:after="0" w:line="240" w:lineRule="auto"/>
    </w:pPr>
    <w:rPr>
      <w:color w:val="000000" w:themeColor="text1"/>
      <w14:textFill>
        <w14:solidFill>
          <w14:schemeClr w14:val="tx1"/>
        </w14:solidFill>
      </w14:textFill>
    </w:rPr>
    <w:tblPr>
      <w:tblBorders>
        <w:top w:val="single" w:color="4BACC6" w:themeColor="accent5" w:sz="24" w:space="0"/>
        <w:left w:val="single" w:color="F79646" w:themeColor="accent6" w:sz="4" w:space="0"/>
        <w:bottom w:val="single" w:color="F79646" w:themeColor="accent6" w:sz="4" w:space="0"/>
        <w:right w:val="single" w:color="F79646" w:themeColor="accent6" w:sz="4" w:space="0"/>
        <w:insideH w:val="single" w:color="FFFFFF" w:themeColor="background1" w:sz="4" w:space="0"/>
        <w:insideV w:val="single" w:color="FFFFFF" w:themeColor="background1" w:sz="4" w:space="0"/>
      </w:tblBorders>
    </w:tblPr>
    <w:tcPr>
      <w:shd w:val="clear" w:color="auto" w:fill="FEF4EC" w:themeFill="accent6" w:themeFillTint="19"/>
    </w:tcPr>
    <w:tblStylePr w:type="firstRow">
      <w:rPr>
        <w:b/>
        <w:bCs/>
      </w:rPr>
      <w:tcPr>
        <w:tcBorders>
          <w:top w:val="nil"/>
          <w:left w:val="nil"/>
          <w:bottom w:val="single" w:color="4BACC6" w:themeColor="accent5"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cPr>
        <w:tcBorders>
          <w:top w:val="single" w:color="FFFFFF" w:themeColor="background1" w:sz="6" w:space="0"/>
        </w:tcBorders>
        <w:shd w:val="clear" w:color="auto" w:fill="B65607" w:themeFill="accent6" w:themeFillShade="99"/>
      </w:tcPr>
    </w:tblStylePr>
    <w:tblStylePr w:type="firstCol">
      <w:rPr>
        <w:color w:val="FFFFFF" w:themeColor="background1"/>
        <w14:textFill>
          <w14:solidFill>
            <w14:schemeClr w14:val="bg1"/>
          </w14:solidFill>
        </w14:textFill>
      </w:rPr>
      <w:tcPr>
        <w:tcBorders>
          <w:top w:val="nil"/>
          <w:left w:val="nil"/>
          <w:bottom w:val="nil"/>
          <w:right w:val="nil"/>
          <w:insideH w:val="single" w:sz="4" w:space="0"/>
          <w:insideV w:val="nil"/>
        </w:tcBorders>
        <w:shd w:val="clear" w:color="auto" w:fill="B65607" w:themeFill="accent6" w:themeFillShade="99"/>
      </w:tcPr>
    </w:tblStylePr>
    <w:tblStylePr w:type="lastCol">
      <w:rPr>
        <w:color w:val="FFFFFF" w:themeColor="background1"/>
        <w14:textFill>
          <w14:solidFill>
            <w14:schemeClr w14:val="bg1"/>
          </w14:solidFill>
        </w14:textFill>
      </w:rPr>
      <w:tcPr>
        <w:tcBorders>
          <w:top w:val="nil"/>
          <w:left w:val="nil"/>
          <w:bottom w:val="nil"/>
          <w:right w:val="nil"/>
          <w:insideH w:val="nil"/>
          <w:insideV w:val="nil"/>
        </w:tcBorders>
        <w:shd w:val="clear" w:color="auto" w:fill="B65607" w:themeFill="accent6" w:themeFillShade="99"/>
      </w:tcPr>
    </w:tblStylePr>
    <w:tblStylePr w:type="band1Vert">
      <w:tcPr>
        <w:shd w:val="clear" w:color="auto" w:fill="FBD4B4" w:themeFill="accent6" w:themeFillTint="66"/>
      </w:tcPr>
    </w:tblStylePr>
    <w:tblStylePr w:type="band1Horz">
      <w:tcPr>
        <w:shd w:val="clear" w:color="auto" w:fill="FBCAA2" w:themeFill="accent6" w:themeFillTint="7F"/>
      </w:tcPr>
    </w:tblStylePr>
    <w:tblStylePr w:type="neCell">
      <w:rPr>
        <w:color w:val="000000" w:themeColor="text1"/>
        <w14:textFill>
          <w14:solidFill>
            <w14:schemeClr w14:val="tx1"/>
          </w14:solidFill>
        </w14:textFill>
      </w:rPr>
    </w:tblStylePr>
    <w:tblStylePr w:type="nwCell">
      <w:rPr>
        <w:color w:val="000000" w:themeColor="text1"/>
        <w14:textFill>
          <w14:solidFill>
            <w14:schemeClr w14:val="tx1"/>
          </w14:solidFill>
        </w14:textFill>
      </w:rPr>
    </w:tblStylePr>
  </w:style>
  <w:style w:type="table" w:styleId="150">
    <w:name w:val="Colorful List"/>
    <w:basedOn w:val="12"/>
    <w:uiPriority w:val="72"/>
    <w:pPr>
      <w:spacing w:after="0" w:line="240" w:lineRule="auto"/>
    </w:pPr>
    <w:rPr>
      <w:color w:val="000000" w:themeColor="text1"/>
      <w14:textFill>
        <w14:solidFill>
          <w14:schemeClr w14:val="tx1"/>
        </w14:solidFill>
      </w14:textFill>
    </w:rPr>
    <w:tcPr>
      <w:shd w:val="clear" w:color="auto" w:fill="E5E5E5" w:themeFill="text1" w:themeFillTint="19"/>
    </w:tcPr>
    <w:tblStylePr w:type="firstRow">
      <w:rPr>
        <w:b/>
        <w:bCs/>
        <w:color w:val="FFFFFF" w:themeColor="background1"/>
        <w14:textFill>
          <w14:solidFill>
            <w14:schemeClr w14:val="bg1"/>
          </w14:solidFill>
        </w14:textFill>
      </w:rPr>
      <w:tcPr>
        <w:tcBorders>
          <w:bottom w:val="single" w:color="FFFFFF" w:themeColor="background1" w:sz="12" w:space="0"/>
        </w:tcBorders>
        <w:shd w:val="clear" w:color="auto" w:fill="9E3A38" w:themeFill="accent2" w:themeFillShade="CC"/>
      </w:tcPr>
    </w:tblStylePr>
    <w:tblStylePr w:type="lastRow">
      <w:rPr>
        <w:b/>
        <w:bCs/>
        <w:color w:val="9F3B38" w:themeColor="accent2" w:themeShade="CC"/>
      </w:r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cPr>
        <w:tcBorders>
          <w:top w:val="nil"/>
          <w:left w:val="nil"/>
          <w:bottom w:val="nil"/>
          <w:right w:val="nil"/>
          <w:insideH w:val="nil"/>
          <w:insideV w:val="nil"/>
        </w:tcBorders>
        <w:shd w:val="clear" w:color="auto" w:fill="BFBFBF" w:themeFill="text1" w:themeFillTint="3F"/>
      </w:tcPr>
    </w:tblStylePr>
    <w:tblStylePr w:type="band1Horz">
      <w:tcPr>
        <w:shd w:val="clear" w:color="auto" w:fill="CCCCCC" w:themeFill="text1" w:themeFillTint="33"/>
      </w:tcPr>
    </w:tblStylePr>
  </w:style>
  <w:style w:type="table" w:styleId="151">
    <w:name w:val="Colorful List Accent 1"/>
    <w:basedOn w:val="12"/>
    <w:uiPriority w:val="72"/>
    <w:pPr>
      <w:spacing w:after="0" w:line="240" w:lineRule="auto"/>
    </w:pPr>
    <w:rPr>
      <w:color w:val="000000" w:themeColor="text1"/>
      <w14:textFill>
        <w14:solidFill>
          <w14:schemeClr w14:val="tx1"/>
        </w14:solidFill>
      </w14:textFill>
    </w:rPr>
    <w:tcPr>
      <w:shd w:val="clear" w:color="auto" w:fill="EDF2F8" w:themeFill="accent1" w:themeFillTint="19"/>
    </w:tcPr>
    <w:tblStylePr w:type="firstRow">
      <w:rPr>
        <w:b/>
        <w:bCs/>
        <w:color w:val="FFFFFF" w:themeColor="background1"/>
        <w14:textFill>
          <w14:solidFill>
            <w14:schemeClr w14:val="bg1"/>
          </w14:solidFill>
        </w14:textFill>
      </w:rPr>
      <w:tcPr>
        <w:tcBorders>
          <w:bottom w:val="single" w:color="FFFFFF" w:themeColor="background1" w:sz="12" w:space="0"/>
        </w:tcBorders>
        <w:shd w:val="clear" w:color="auto" w:fill="9E3A38" w:themeFill="accent2" w:themeFillShade="CC"/>
      </w:tcPr>
    </w:tblStylePr>
    <w:tblStylePr w:type="lastRow">
      <w:rPr>
        <w:b/>
        <w:bCs/>
        <w:color w:val="9F3B38" w:themeColor="accent2" w:themeShade="CC"/>
      </w:r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cPr>
        <w:tcBorders>
          <w:top w:val="nil"/>
          <w:left w:val="nil"/>
          <w:bottom w:val="nil"/>
          <w:right w:val="nil"/>
          <w:insideH w:val="nil"/>
          <w:insideV w:val="nil"/>
        </w:tcBorders>
        <w:shd w:val="clear" w:color="auto" w:fill="D3DFEE" w:themeFill="accent1" w:themeFillTint="3F"/>
      </w:tcPr>
    </w:tblStylePr>
    <w:tblStylePr w:type="band1Horz">
      <w:tcPr>
        <w:shd w:val="clear" w:color="auto" w:fill="DBE5F1" w:themeFill="accent1" w:themeFillTint="33"/>
      </w:tcPr>
    </w:tblStylePr>
  </w:style>
  <w:style w:type="table" w:styleId="152">
    <w:name w:val="Colorful List Accent 2"/>
    <w:basedOn w:val="12"/>
    <w:uiPriority w:val="72"/>
    <w:pPr>
      <w:spacing w:after="0" w:line="240" w:lineRule="auto"/>
    </w:pPr>
    <w:rPr>
      <w:color w:val="000000" w:themeColor="text1"/>
      <w14:textFill>
        <w14:solidFill>
          <w14:schemeClr w14:val="tx1"/>
        </w14:solidFill>
      </w14:textFill>
    </w:rPr>
    <w:tcPr>
      <w:shd w:val="clear" w:color="auto" w:fill="F8EDED" w:themeFill="accent2" w:themeFillTint="19"/>
    </w:tcPr>
    <w:tblStylePr w:type="firstRow">
      <w:rPr>
        <w:b/>
        <w:bCs/>
        <w:color w:val="FFFFFF" w:themeColor="background1"/>
        <w14:textFill>
          <w14:solidFill>
            <w14:schemeClr w14:val="bg1"/>
          </w14:solidFill>
        </w14:textFill>
      </w:rPr>
      <w:tcPr>
        <w:tcBorders>
          <w:bottom w:val="single" w:color="FFFFFF" w:themeColor="background1" w:sz="12" w:space="0"/>
        </w:tcBorders>
        <w:shd w:val="clear" w:color="auto" w:fill="9E3A38" w:themeFill="accent2" w:themeFillShade="CC"/>
      </w:tcPr>
    </w:tblStylePr>
    <w:tblStylePr w:type="lastRow">
      <w:rPr>
        <w:b/>
        <w:bCs/>
        <w:color w:val="9F3B38" w:themeColor="accent2" w:themeShade="CC"/>
      </w:r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cPr>
        <w:tcBorders>
          <w:top w:val="nil"/>
          <w:left w:val="nil"/>
          <w:bottom w:val="nil"/>
          <w:right w:val="nil"/>
          <w:insideH w:val="nil"/>
          <w:insideV w:val="nil"/>
        </w:tcBorders>
        <w:shd w:val="clear" w:color="auto" w:fill="EFD3D3" w:themeFill="accent2" w:themeFillTint="3F"/>
      </w:tcPr>
    </w:tblStylePr>
    <w:tblStylePr w:type="band1Horz">
      <w:tcPr>
        <w:shd w:val="clear" w:color="auto" w:fill="F2DBDB" w:themeFill="accent2" w:themeFillTint="33"/>
      </w:tcPr>
    </w:tblStylePr>
  </w:style>
  <w:style w:type="table" w:styleId="153">
    <w:name w:val="Colorful List Accent 3"/>
    <w:basedOn w:val="12"/>
    <w:uiPriority w:val="72"/>
    <w:pPr>
      <w:spacing w:after="0" w:line="240" w:lineRule="auto"/>
    </w:pPr>
    <w:rPr>
      <w:color w:val="000000" w:themeColor="text1"/>
      <w14:textFill>
        <w14:solidFill>
          <w14:schemeClr w14:val="tx1"/>
        </w14:solidFill>
      </w14:textFill>
    </w:rPr>
    <w:tcPr>
      <w:shd w:val="clear" w:color="auto" w:fill="F5F8EE" w:themeFill="accent3" w:themeFillTint="19"/>
    </w:tcPr>
    <w:tblStylePr w:type="firstRow">
      <w:rPr>
        <w:b/>
        <w:bCs/>
        <w:color w:val="FFFFFF" w:themeColor="background1"/>
        <w14:textFill>
          <w14:solidFill>
            <w14:schemeClr w14:val="bg1"/>
          </w14:solidFill>
        </w14:textFill>
      </w:rPr>
      <w:tcPr>
        <w:tcBorders>
          <w:bottom w:val="single" w:color="FFFFFF" w:themeColor="background1" w:sz="12" w:space="0"/>
        </w:tcBorders>
        <w:shd w:val="clear" w:color="auto" w:fill="664E82" w:themeFill="accent4" w:themeFillShade="CC"/>
      </w:tcPr>
    </w:tblStylePr>
    <w:tblStylePr w:type="lastRow">
      <w:rPr>
        <w:b/>
        <w:bCs/>
        <w:color w:val="664F83" w:themeColor="accent4" w:themeShade="CC"/>
      </w:r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cPr>
        <w:tcBorders>
          <w:top w:val="nil"/>
          <w:left w:val="nil"/>
          <w:bottom w:val="nil"/>
          <w:right w:val="nil"/>
          <w:insideH w:val="nil"/>
          <w:insideV w:val="nil"/>
        </w:tcBorders>
        <w:shd w:val="clear" w:color="auto" w:fill="E6EED5" w:themeFill="accent3" w:themeFillTint="3F"/>
      </w:tcPr>
    </w:tblStylePr>
    <w:tblStylePr w:type="band1Horz">
      <w:tcPr>
        <w:shd w:val="clear" w:color="auto" w:fill="EAF1DD" w:themeFill="accent3" w:themeFillTint="33"/>
      </w:tcPr>
    </w:tblStylePr>
  </w:style>
  <w:style w:type="table" w:styleId="154">
    <w:name w:val="Colorful List Accent 4"/>
    <w:basedOn w:val="12"/>
    <w:uiPriority w:val="72"/>
    <w:pPr>
      <w:spacing w:after="0" w:line="240" w:lineRule="auto"/>
    </w:pPr>
    <w:rPr>
      <w:color w:val="000000" w:themeColor="text1"/>
      <w14:textFill>
        <w14:solidFill>
          <w14:schemeClr w14:val="tx1"/>
        </w14:solidFill>
      </w14:textFill>
    </w:rPr>
    <w:tcPr>
      <w:shd w:val="clear" w:color="auto" w:fill="F2EFF5" w:themeFill="accent4" w:themeFillTint="19"/>
    </w:tcPr>
    <w:tblStylePr w:type="firstRow">
      <w:rPr>
        <w:b/>
        <w:bCs/>
        <w:color w:val="FFFFFF" w:themeColor="background1"/>
        <w14:textFill>
          <w14:solidFill>
            <w14:schemeClr w14:val="bg1"/>
          </w14:solidFill>
        </w14:textFill>
      </w:rPr>
      <w:tcPr>
        <w:tcBorders>
          <w:bottom w:val="single" w:color="FFFFFF" w:themeColor="background1" w:sz="12" w:space="0"/>
        </w:tcBorders>
        <w:shd w:val="clear" w:color="auto" w:fill="7E9C40" w:themeFill="accent3" w:themeFillShade="CC"/>
      </w:tcPr>
    </w:tblStylePr>
    <w:tblStylePr w:type="lastRow">
      <w:rPr>
        <w:b/>
        <w:bCs/>
        <w:color w:val="7E9D40" w:themeColor="accent3" w:themeShade="CC"/>
      </w:r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cPr>
        <w:tcBorders>
          <w:top w:val="nil"/>
          <w:left w:val="nil"/>
          <w:bottom w:val="nil"/>
          <w:right w:val="nil"/>
          <w:insideH w:val="nil"/>
          <w:insideV w:val="nil"/>
        </w:tcBorders>
        <w:shd w:val="clear" w:color="auto" w:fill="DFD8E8" w:themeFill="accent4" w:themeFillTint="3F"/>
      </w:tcPr>
    </w:tblStylePr>
    <w:tblStylePr w:type="band1Horz">
      <w:tcPr>
        <w:shd w:val="clear" w:color="auto" w:fill="E5DFEC" w:themeFill="accent4" w:themeFillTint="33"/>
      </w:tcPr>
    </w:tblStylePr>
  </w:style>
  <w:style w:type="table" w:styleId="155">
    <w:name w:val="Colorful List Accent 5"/>
    <w:basedOn w:val="12"/>
    <w:uiPriority w:val="72"/>
    <w:pPr>
      <w:spacing w:after="0" w:line="240" w:lineRule="auto"/>
    </w:pPr>
    <w:rPr>
      <w:color w:val="000000" w:themeColor="text1"/>
      <w14:textFill>
        <w14:solidFill>
          <w14:schemeClr w14:val="tx1"/>
        </w14:solidFill>
      </w14:textFill>
    </w:rPr>
    <w:tcPr>
      <w:shd w:val="clear" w:color="auto" w:fill="EDF6F9" w:themeFill="accent5" w:themeFillTint="19"/>
    </w:tcPr>
    <w:tblStylePr w:type="firstRow">
      <w:rPr>
        <w:b/>
        <w:bCs/>
        <w:color w:val="FFFFFF" w:themeColor="background1"/>
        <w14:textFill>
          <w14:solidFill>
            <w14:schemeClr w14:val="bg1"/>
          </w14:solidFill>
        </w14:textFill>
      </w:rPr>
      <w:tcPr>
        <w:tcBorders>
          <w:bottom w:val="single" w:color="FFFFFF" w:themeColor="background1" w:sz="12" w:space="0"/>
        </w:tcBorders>
        <w:shd w:val="clear" w:color="auto" w:fill="F3730A" w:themeFill="accent6" w:themeFillShade="CC"/>
      </w:tcPr>
    </w:tblStylePr>
    <w:tblStylePr w:type="lastRow">
      <w:rPr>
        <w:b/>
        <w:bCs/>
        <w:color w:val="F3740B" w:themeColor="accent6" w:themeShade="CC"/>
      </w:r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cPr>
        <w:tcBorders>
          <w:top w:val="nil"/>
          <w:left w:val="nil"/>
          <w:bottom w:val="nil"/>
          <w:right w:val="nil"/>
          <w:insideH w:val="nil"/>
          <w:insideV w:val="nil"/>
        </w:tcBorders>
        <w:shd w:val="clear" w:color="auto" w:fill="D2EAF0" w:themeFill="accent5" w:themeFillTint="3F"/>
      </w:tcPr>
    </w:tblStylePr>
    <w:tblStylePr w:type="band1Horz">
      <w:tcPr>
        <w:shd w:val="clear" w:color="auto" w:fill="DAEEF3" w:themeFill="accent5" w:themeFillTint="33"/>
      </w:tcPr>
    </w:tblStylePr>
  </w:style>
  <w:style w:type="table" w:styleId="156">
    <w:name w:val="Colorful List Accent 6"/>
    <w:basedOn w:val="12"/>
    <w:uiPriority w:val="72"/>
    <w:pPr>
      <w:spacing w:after="0" w:line="240" w:lineRule="auto"/>
    </w:pPr>
    <w:rPr>
      <w:color w:val="000000" w:themeColor="text1"/>
      <w14:textFill>
        <w14:solidFill>
          <w14:schemeClr w14:val="tx1"/>
        </w14:solidFill>
      </w14:textFill>
    </w:rPr>
    <w:tcPr>
      <w:shd w:val="clear" w:color="auto" w:fill="FEF4EC" w:themeFill="accent6" w:themeFillTint="19"/>
    </w:tcPr>
    <w:tblStylePr w:type="firstRow">
      <w:rPr>
        <w:b/>
        <w:bCs/>
        <w:color w:val="FFFFFF" w:themeColor="background1"/>
        <w14:textFill>
          <w14:solidFill>
            <w14:schemeClr w14:val="bg1"/>
          </w14:solidFill>
        </w14:textFill>
      </w:rPr>
      <w:tcPr>
        <w:tcBorders>
          <w:bottom w:val="single" w:color="FFFFFF" w:themeColor="background1" w:sz="12" w:space="0"/>
        </w:tcBorders>
        <w:shd w:val="clear" w:color="auto" w:fill="348DA5" w:themeFill="accent5" w:themeFillShade="CC"/>
      </w:tcPr>
    </w:tblStylePr>
    <w:tblStylePr w:type="lastRow">
      <w:rPr>
        <w:b/>
        <w:bCs/>
        <w:color w:val="358EA6" w:themeColor="accent5" w:themeShade="CC"/>
      </w:r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cPr>
        <w:tcBorders>
          <w:top w:val="nil"/>
          <w:left w:val="nil"/>
          <w:bottom w:val="nil"/>
          <w:right w:val="nil"/>
          <w:insideH w:val="nil"/>
          <w:insideV w:val="nil"/>
        </w:tcBorders>
        <w:shd w:val="clear" w:color="auto" w:fill="FDE5D1" w:themeFill="accent6" w:themeFillTint="3F"/>
      </w:tcPr>
    </w:tblStylePr>
    <w:tblStylePr w:type="band1Horz">
      <w:tcPr>
        <w:shd w:val="clear" w:color="auto" w:fill="FDE9D9" w:themeFill="accent6" w:themeFillTint="33"/>
      </w:tcPr>
    </w:tblStylePr>
  </w:style>
  <w:style w:type="table" w:styleId="157">
    <w:name w:val="Colorful Grid"/>
    <w:basedOn w:val="12"/>
    <w:uiPriority w:val="73"/>
    <w:pPr>
      <w:spacing w:after="0" w:line="240" w:lineRule="auto"/>
    </w:pPr>
    <w:rPr>
      <w:color w:val="000000" w:themeColor="text1"/>
      <w14:textFill>
        <w14:solidFill>
          <w14:schemeClr w14:val="tx1"/>
        </w14:solidFill>
      </w14:textFill>
    </w:rPr>
    <w:tblPr>
      <w:tblBorders>
        <w:insideH w:val="single" w:color="FFFFFF" w:themeColor="background1" w:sz="4" w:space="0"/>
      </w:tblBorders>
    </w:tblPr>
    <w:tcPr>
      <w:shd w:val="clear" w:color="auto" w:fill="CCCCCC" w:themeFill="text1" w:themeFillTint="33"/>
    </w:tcPr>
    <w:tblStylePr w:type="firstRow">
      <w:rPr>
        <w:b/>
        <w:bCs/>
      </w:rPr>
      <w:tcPr>
        <w:shd w:val="clear" w:color="auto" w:fill="999999" w:themeFill="text1" w:themeFillTint="66"/>
      </w:tcPr>
    </w:tblStylePr>
    <w:tblStylePr w:type="lastRow">
      <w:rPr>
        <w:b/>
        <w:bCs/>
        <w:color w:val="000000" w:themeColor="text1"/>
        <w14:textFill>
          <w14:solidFill>
            <w14:schemeClr w14:val="tx1"/>
          </w14:solidFill>
        </w14:textFill>
      </w:rPr>
      <w:tcPr>
        <w:shd w:val="clear" w:color="auto" w:fill="999999" w:themeFill="text1" w:themeFillTint="66"/>
      </w:tcPr>
    </w:tblStylePr>
    <w:tblStylePr w:type="firstCol">
      <w:rPr>
        <w:color w:val="FFFFFF" w:themeColor="background1"/>
        <w14:textFill>
          <w14:solidFill>
            <w14:schemeClr w14:val="bg1"/>
          </w14:solidFill>
        </w14:textFill>
      </w:rPr>
      <w:tcPr>
        <w:shd w:val="clear" w:color="auto" w:fill="000000" w:themeFill="text1" w:themeFillShade="BF"/>
      </w:tcPr>
    </w:tblStylePr>
    <w:tblStylePr w:type="lastCol">
      <w:rPr>
        <w:color w:val="FFFFFF" w:themeColor="background1"/>
        <w14:textFill>
          <w14:solidFill>
            <w14:schemeClr w14:val="bg1"/>
          </w14:solidFill>
        </w14:textFill>
      </w:rPr>
      <w:tcPr>
        <w:shd w:val="clear" w:color="auto" w:fill="000000" w:themeFill="text1" w:themeFillShade="BF"/>
      </w:tcPr>
    </w:tblStylePr>
    <w:tblStylePr w:type="band1Vert">
      <w:tcPr>
        <w:shd w:val="clear" w:color="auto" w:fill="7F7F7F" w:themeFill="text1" w:themeFillTint="7F"/>
      </w:tcPr>
    </w:tblStylePr>
    <w:tblStylePr w:type="band1Horz">
      <w:tcPr>
        <w:shd w:val="clear" w:color="auto" w:fill="7F7F7F" w:themeFill="text1" w:themeFillTint="7F"/>
      </w:tcPr>
    </w:tblStylePr>
  </w:style>
  <w:style w:type="table" w:styleId="158">
    <w:name w:val="Colorful Grid Accent 1"/>
    <w:basedOn w:val="12"/>
    <w:uiPriority w:val="73"/>
    <w:pPr>
      <w:spacing w:after="0" w:line="240" w:lineRule="auto"/>
    </w:pPr>
    <w:rPr>
      <w:color w:val="000000" w:themeColor="text1"/>
      <w14:textFill>
        <w14:solidFill>
          <w14:schemeClr w14:val="tx1"/>
        </w14:solidFill>
      </w14:textFill>
    </w:rPr>
    <w:tblPr>
      <w:tblBorders>
        <w:insideH w:val="single" w:color="FFFFFF" w:themeColor="background1" w:sz="4" w:space="0"/>
      </w:tblBorders>
    </w:tblPr>
    <w:tcPr>
      <w:shd w:val="clear" w:color="auto" w:fill="DBE5F1" w:themeFill="accent1" w:themeFillTint="33"/>
    </w:tcPr>
    <w:tblStylePr w:type="firstRow">
      <w:rPr>
        <w:b/>
        <w:bCs/>
      </w:rPr>
      <w:tcPr>
        <w:shd w:val="clear" w:color="auto" w:fill="B8CCE4" w:themeFill="accent1" w:themeFillTint="66"/>
      </w:tcPr>
    </w:tblStylePr>
    <w:tblStylePr w:type="lastRow">
      <w:rPr>
        <w:b/>
        <w:bCs/>
        <w:color w:val="000000" w:themeColor="text1"/>
        <w14:textFill>
          <w14:solidFill>
            <w14:schemeClr w14:val="tx1"/>
          </w14:solidFill>
        </w14:textFill>
      </w:rPr>
      <w:tcPr>
        <w:shd w:val="clear" w:color="auto" w:fill="B8CCE4" w:themeFill="accent1" w:themeFillTint="66"/>
      </w:tcPr>
    </w:tblStylePr>
    <w:tblStylePr w:type="firstCol">
      <w:rPr>
        <w:color w:val="FFFFFF" w:themeColor="background1"/>
        <w14:textFill>
          <w14:solidFill>
            <w14:schemeClr w14:val="bg1"/>
          </w14:solidFill>
        </w14:textFill>
      </w:rPr>
      <w:tcPr>
        <w:shd w:val="clear" w:color="auto" w:fill="366091" w:themeFill="accent1" w:themeFillShade="BF"/>
      </w:tcPr>
    </w:tblStylePr>
    <w:tblStylePr w:type="lastCol">
      <w:rPr>
        <w:color w:val="FFFFFF" w:themeColor="background1"/>
        <w14:textFill>
          <w14:solidFill>
            <w14:schemeClr w14:val="bg1"/>
          </w14:solidFill>
        </w14:textFill>
      </w:rPr>
      <w:tcPr>
        <w:shd w:val="clear" w:color="auto" w:fill="366091" w:themeFill="accent1" w:themeFillShade="BF"/>
      </w:tcPr>
    </w:tblStylePr>
    <w:tblStylePr w:type="band1Vert">
      <w:tcPr>
        <w:shd w:val="clear" w:color="auto" w:fill="A7C0DE" w:themeFill="accent1" w:themeFillTint="7F"/>
      </w:tcPr>
    </w:tblStylePr>
    <w:tblStylePr w:type="band1Horz">
      <w:tcPr>
        <w:shd w:val="clear" w:color="auto" w:fill="A7C0DE" w:themeFill="accent1" w:themeFillTint="7F"/>
      </w:tcPr>
    </w:tblStylePr>
  </w:style>
  <w:style w:type="table" w:styleId="159">
    <w:name w:val="Colorful Grid Accent 2"/>
    <w:basedOn w:val="12"/>
    <w:uiPriority w:val="73"/>
    <w:pPr>
      <w:spacing w:after="0" w:line="240" w:lineRule="auto"/>
    </w:pPr>
    <w:rPr>
      <w:color w:val="000000" w:themeColor="text1"/>
      <w14:textFill>
        <w14:solidFill>
          <w14:schemeClr w14:val="tx1"/>
        </w14:solidFill>
      </w14:textFill>
    </w:rPr>
    <w:tblPr>
      <w:tblBorders>
        <w:insideH w:val="single" w:color="FFFFFF" w:themeColor="background1" w:sz="4" w:space="0"/>
      </w:tblBorders>
    </w:tblPr>
    <w:tcPr>
      <w:shd w:val="clear" w:color="auto" w:fill="F2DBDB" w:themeFill="accent2" w:themeFillTint="33"/>
    </w:tcPr>
    <w:tblStylePr w:type="firstRow">
      <w:rPr>
        <w:b/>
        <w:bCs/>
      </w:rPr>
      <w:tcPr>
        <w:shd w:val="clear" w:color="auto" w:fill="E5B8B7" w:themeFill="accent2" w:themeFillTint="66"/>
      </w:tcPr>
    </w:tblStylePr>
    <w:tblStylePr w:type="lastRow">
      <w:rPr>
        <w:b/>
        <w:bCs/>
        <w:color w:val="000000" w:themeColor="text1"/>
        <w14:textFill>
          <w14:solidFill>
            <w14:schemeClr w14:val="tx1"/>
          </w14:solidFill>
        </w14:textFill>
      </w:rPr>
      <w:tcPr>
        <w:shd w:val="clear" w:color="auto" w:fill="E5B8B7" w:themeFill="accent2" w:themeFillTint="66"/>
      </w:tcPr>
    </w:tblStylePr>
    <w:tblStylePr w:type="firstCol">
      <w:rPr>
        <w:color w:val="FFFFFF" w:themeColor="background1"/>
        <w14:textFill>
          <w14:solidFill>
            <w14:schemeClr w14:val="bg1"/>
          </w14:solidFill>
        </w14:textFill>
      </w:rPr>
      <w:tcPr>
        <w:shd w:val="clear" w:color="auto" w:fill="943734" w:themeFill="accent2" w:themeFillShade="BF"/>
      </w:tcPr>
    </w:tblStylePr>
    <w:tblStylePr w:type="lastCol">
      <w:rPr>
        <w:color w:val="FFFFFF" w:themeColor="background1"/>
        <w14:textFill>
          <w14:solidFill>
            <w14:schemeClr w14:val="bg1"/>
          </w14:solidFill>
        </w14:textFill>
      </w:rPr>
      <w:tcPr>
        <w:shd w:val="clear" w:color="auto" w:fill="943734" w:themeFill="accent2" w:themeFillShade="BF"/>
      </w:tcPr>
    </w:tblStylePr>
    <w:tblStylePr w:type="band1Vert">
      <w:tcPr>
        <w:shd w:val="clear" w:color="auto" w:fill="DFA7A6" w:themeFill="accent2" w:themeFillTint="7F"/>
      </w:tcPr>
    </w:tblStylePr>
    <w:tblStylePr w:type="band1Horz">
      <w:tcPr>
        <w:shd w:val="clear" w:color="auto" w:fill="DFA7A6" w:themeFill="accent2" w:themeFillTint="7F"/>
      </w:tcPr>
    </w:tblStylePr>
  </w:style>
  <w:style w:type="table" w:styleId="160">
    <w:name w:val="Colorful Grid Accent 3"/>
    <w:basedOn w:val="12"/>
    <w:uiPriority w:val="73"/>
    <w:pPr>
      <w:spacing w:after="0" w:line="240" w:lineRule="auto"/>
    </w:pPr>
    <w:rPr>
      <w:color w:val="000000" w:themeColor="text1"/>
      <w14:textFill>
        <w14:solidFill>
          <w14:schemeClr w14:val="tx1"/>
        </w14:solidFill>
      </w14:textFill>
    </w:rPr>
    <w:tblPr>
      <w:tblBorders>
        <w:insideH w:val="single" w:color="FFFFFF" w:themeColor="background1" w:sz="4" w:space="0"/>
      </w:tblBorders>
    </w:tblPr>
    <w:tcPr>
      <w:shd w:val="clear" w:color="auto" w:fill="EAF1DD" w:themeFill="accent3" w:themeFillTint="33"/>
    </w:tcPr>
    <w:tblStylePr w:type="firstRow">
      <w:rPr>
        <w:b/>
        <w:bCs/>
      </w:rPr>
      <w:tcPr>
        <w:shd w:val="clear" w:color="auto" w:fill="D6E3BC" w:themeFill="accent3" w:themeFillTint="66"/>
      </w:tcPr>
    </w:tblStylePr>
    <w:tblStylePr w:type="lastRow">
      <w:rPr>
        <w:b/>
        <w:bCs/>
        <w:color w:val="000000" w:themeColor="text1"/>
        <w14:textFill>
          <w14:solidFill>
            <w14:schemeClr w14:val="tx1"/>
          </w14:solidFill>
        </w14:textFill>
      </w:rPr>
      <w:tcPr>
        <w:shd w:val="clear" w:color="auto" w:fill="D6E3BC" w:themeFill="accent3" w:themeFillTint="66"/>
      </w:tcPr>
    </w:tblStylePr>
    <w:tblStylePr w:type="firstCol">
      <w:rPr>
        <w:color w:val="FFFFFF" w:themeColor="background1"/>
        <w14:textFill>
          <w14:solidFill>
            <w14:schemeClr w14:val="bg1"/>
          </w14:solidFill>
        </w14:textFill>
      </w:rPr>
      <w:tcPr>
        <w:shd w:val="clear" w:color="auto" w:fill="76923C" w:themeFill="accent3" w:themeFillShade="BF"/>
      </w:tcPr>
    </w:tblStylePr>
    <w:tblStylePr w:type="lastCol">
      <w:rPr>
        <w:color w:val="FFFFFF" w:themeColor="background1"/>
        <w14:textFill>
          <w14:solidFill>
            <w14:schemeClr w14:val="bg1"/>
          </w14:solidFill>
        </w14:textFill>
      </w:rPr>
      <w:tcPr>
        <w:shd w:val="clear" w:color="auto" w:fill="76923C" w:themeFill="accent3" w:themeFillShade="BF"/>
      </w:tcPr>
    </w:tblStylePr>
    <w:tblStylePr w:type="band1Vert">
      <w:tcPr>
        <w:shd w:val="clear" w:color="auto" w:fill="CDDDAC" w:themeFill="accent3" w:themeFillTint="7F"/>
      </w:tcPr>
    </w:tblStylePr>
    <w:tblStylePr w:type="band1Horz">
      <w:tcPr>
        <w:shd w:val="clear" w:color="auto" w:fill="CDDDAC" w:themeFill="accent3" w:themeFillTint="7F"/>
      </w:tcPr>
    </w:tblStylePr>
  </w:style>
  <w:style w:type="table" w:styleId="161">
    <w:name w:val="Colorful Grid Accent 4"/>
    <w:basedOn w:val="12"/>
    <w:uiPriority w:val="73"/>
    <w:pPr>
      <w:spacing w:after="0" w:line="240" w:lineRule="auto"/>
    </w:pPr>
    <w:rPr>
      <w:color w:val="000000" w:themeColor="text1"/>
      <w14:textFill>
        <w14:solidFill>
          <w14:schemeClr w14:val="tx1"/>
        </w14:solidFill>
      </w14:textFill>
    </w:rPr>
    <w:tblPr>
      <w:tblBorders>
        <w:insideH w:val="single" w:color="FFFFFF" w:themeColor="background1" w:sz="4" w:space="0"/>
      </w:tblBorders>
    </w:tblPr>
    <w:tcPr>
      <w:shd w:val="clear" w:color="auto" w:fill="E5DFEC" w:themeFill="accent4" w:themeFillTint="33"/>
    </w:tcPr>
    <w:tblStylePr w:type="firstRow">
      <w:rPr>
        <w:b/>
        <w:bCs/>
      </w:rPr>
      <w:tcPr>
        <w:shd w:val="clear" w:color="auto" w:fill="CCC0D9" w:themeFill="accent4" w:themeFillTint="66"/>
      </w:tcPr>
    </w:tblStylePr>
    <w:tblStylePr w:type="lastRow">
      <w:rPr>
        <w:b/>
        <w:bCs/>
        <w:color w:val="000000" w:themeColor="text1"/>
        <w14:textFill>
          <w14:solidFill>
            <w14:schemeClr w14:val="tx1"/>
          </w14:solidFill>
        </w14:textFill>
      </w:rPr>
      <w:tcPr>
        <w:shd w:val="clear" w:color="auto" w:fill="CCC0D9" w:themeFill="accent4" w:themeFillTint="66"/>
      </w:tcPr>
    </w:tblStylePr>
    <w:tblStylePr w:type="firstCol">
      <w:rPr>
        <w:color w:val="FFFFFF" w:themeColor="background1"/>
        <w14:textFill>
          <w14:solidFill>
            <w14:schemeClr w14:val="bg1"/>
          </w14:solidFill>
        </w14:textFill>
      </w:rPr>
      <w:tcPr>
        <w:shd w:val="clear" w:color="auto" w:fill="5F497A" w:themeFill="accent4" w:themeFillShade="BF"/>
      </w:tcPr>
    </w:tblStylePr>
    <w:tblStylePr w:type="lastCol">
      <w:rPr>
        <w:color w:val="FFFFFF" w:themeColor="background1"/>
        <w14:textFill>
          <w14:solidFill>
            <w14:schemeClr w14:val="bg1"/>
          </w14:solidFill>
        </w14:textFill>
      </w:rPr>
      <w:tcPr>
        <w:shd w:val="clear" w:color="auto" w:fill="5F497A" w:themeFill="accent4" w:themeFillShade="BF"/>
      </w:tcPr>
    </w:tblStylePr>
    <w:tblStylePr w:type="band1Vert">
      <w:tcPr>
        <w:shd w:val="clear" w:color="auto" w:fill="BFB1D0" w:themeFill="accent4" w:themeFillTint="7F"/>
      </w:tcPr>
    </w:tblStylePr>
    <w:tblStylePr w:type="band1Horz">
      <w:tcPr>
        <w:shd w:val="clear" w:color="auto" w:fill="BFB1D0" w:themeFill="accent4" w:themeFillTint="7F"/>
      </w:tcPr>
    </w:tblStylePr>
  </w:style>
  <w:style w:type="table" w:styleId="162">
    <w:name w:val="Colorful Grid Accent 5"/>
    <w:basedOn w:val="12"/>
    <w:uiPriority w:val="73"/>
    <w:pPr>
      <w:spacing w:after="0" w:line="240" w:lineRule="auto"/>
    </w:pPr>
    <w:rPr>
      <w:color w:val="000000" w:themeColor="text1"/>
      <w14:textFill>
        <w14:solidFill>
          <w14:schemeClr w14:val="tx1"/>
        </w14:solidFill>
      </w14:textFill>
    </w:rPr>
    <w:tblPr>
      <w:tblBorders>
        <w:insideH w:val="single" w:color="FFFFFF" w:themeColor="background1" w:sz="4" w:space="0"/>
      </w:tblBorders>
    </w:tblPr>
    <w:tcPr>
      <w:shd w:val="clear" w:color="auto" w:fill="DAEEF3" w:themeFill="accent5" w:themeFillTint="33"/>
    </w:tcPr>
    <w:tblStylePr w:type="firstRow">
      <w:rPr>
        <w:b/>
        <w:bCs/>
      </w:rPr>
      <w:tcPr>
        <w:shd w:val="clear" w:color="auto" w:fill="B6DDE8" w:themeFill="accent5" w:themeFillTint="66"/>
      </w:tcPr>
    </w:tblStylePr>
    <w:tblStylePr w:type="lastRow">
      <w:rPr>
        <w:b/>
        <w:bCs/>
        <w:color w:val="000000" w:themeColor="text1"/>
        <w14:textFill>
          <w14:solidFill>
            <w14:schemeClr w14:val="tx1"/>
          </w14:solidFill>
        </w14:textFill>
      </w:rPr>
      <w:tcPr>
        <w:shd w:val="clear" w:color="auto" w:fill="B6DDE8" w:themeFill="accent5" w:themeFillTint="66"/>
      </w:tcPr>
    </w:tblStylePr>
    <w:tblStylePr w:type="firstCol">
      <w:rPr>
        <w:color w:val="FFFFFF" w:themeColor="background1"/>
        <w14:textFill>
          <w14:solidFill>
            <w14:schemeClr w14:val="bg1"/>
          </w14:solidFill>
        </w14:textFill>
      </w:rPr>
      <w:tcPr>
        <w:shd w:val="clear" w:color="auto" w:fill="31849B" w:themeFill="accent5" w:themeFillShade="BF"/>
      </w:tcPr>
    </w:tblStylePr>
    <w:tblStylePr w:type="lastCol">
      <w:rPr>
        <w:color w:val="FFFFFF" w:themeColor="background1"/>
        <w14:textFill>
          <w14:solidFill>
            <w14:schemeClr w14:val="bg1"/>
          </w14:solidFill>
        </w14:textFill>
      </w:rPr>
      <w:tcPr>
        <w:shd w:val="clear" w:color="auto" w:fill="31849B" w:themeFill="accent5" w:themeFillShade="BF"/>
      </w:tcPr>
    </w:tblStylePr>
    <w:tblStylePr w:type="band1Vert">
      <w:tcPr>
        <w:shd w:val="clear" w:color="auto" w:fill="A5D5E2" w:themeFill="accent5" w:themeFillTint="7F"/>
      </w:tcPr>
    </w:tblStylePr>
    <w:tblStylePr w:type="band1Horz">
      <w:tcPr>
        <w:shd w:val="clear" w:color="auto" w:fill="A5D5E2" w:themeFill="accent5" w:themeFillTint="7F"/>
      </w:tcPr>
    </w:tblStylePr>
  </w:style>
  <w:style w:type="table" w:styleId="163">
    <w:name w:val="Colorful Grid Accent 6"/>
    <w:basedOn w:val="12"/>
    <w:uiPriority w:val="73"/>
    <w:pPr>
      <w:spacing w:after="0" w:line="240" w:lineRule="auto"/>
    </w:pPr>
    <w:rPr>
      <w:color w:val="000000" w:themeColor="text1"/>
      <w14:textFill>
        <w14:solidFill>
          <w14:schemeClr w14:val="tx1"/>
        </w14:solidFill>
      </w14:textFill>
    </w:rPr>
    <w:tblPr>
      <w:tblBorders>
        <w:insideH w:val="single" w:color="FFFFFF" w:themeColor="background1" w:sz="4" w:space="0"/>
      </w:tblBorders>
    </w:tblPr>
    <w:tcPr>
      <w:shd w:val="clear" w:color="auto" w:fill="FDE9D9" w:themeFill="accent6" w:themeFillTint="33"/>
    </w:tcPr>
    <w:tblStylePr w:type="firstRow">
      <w:rPr>
        <w:b/>
        <w:bCs/>
      </w:rPr>
      <w:tcPr>
        <w:shd w:val="clear" w:color="auto" w:fill="FBD4B4" w:themeFill="accent6" w:themeFillTint="66"/>
      </w:tcPr>
    </w:tblStylePr>
    <w:tblStylePr w:type="lastRow">
      <w:rPr>
        <w:b/>
        <w:bCs/>
        <w:color w:val="000000" w:themeColor="text1"/>
        <w14:textFill>
          <w14:solidFill>
            <w14:schemeClr w14:val="tx1"/>
          </w14:solidFill>
        </w14:textFill>
      </w:rPr>
      <w:tcPr>
        <w:shd w:val="clear" w:color="auto" w:fill="FBD4B4" w:themeFill="accent6" w:themeFillTint="66"/>
      </w:tcPr>
    </w:tblStylePr>
    <w:tblStylePr w:type="firstCol">
      <w:rPr>
        <w:color w:val="FFFFFF" w:themeColor="background1"/>
        <w14:textFill>
          <w14:solidFill>
            <w14:schemeClr w14:val="bg1"/>
          </w14:solidFill>
        </w14:textFill>
      </w:rPr>
      <w:tcPr>
        <w:shd w:val="clear" w:color="auto" w:fill="E36C09" w:themeFill="accent6" w:themeFillShade="BF"/>
      </w:tcPr>
    </w:tblStylePr>
    <w:tblStylePr w:type="lastCol">
      <w:rPr>
        <w:color w:val="FFFFFF" w:themeColor="background1"/>
        <w14:textFill>
          <w14:solidFill>
            <w14:schemeClr w14:val="bg1"/>
          </w14:solidFill>
        </w14:textFill>
      </w:rPr>
      <w:tcPr>
        <w:shd w:val="clear" w:color="auto" w:fill="E36C09" w:themeFill="accent6" w:themeFillShade="BF"/>
      </w:tcPr>
    </w:tblStylePr>
    <w:tblStylePr w:type="band1Vert">
      <w:tcPr>
        <w:shd w:val="clear" w:color="auto" w:fill="FBCAA2" w:themeFill="accent6" w:themeFillTint="7F"/>
      </w:tcPr>
    </w:tblStylePr>
    <w:tblStylePr w:type="band1Horz">
      <w:tcPr>
        <w:shd w:val="clear" w:color="auto" w:fill="FBCAA2" w:themeFill="accent6" w:themeFillTint="7F"/>
      </w:tcPr>
    </w:tblStylePr>
  </w:style>
  <w:style w:type="paragraph" w:customStyle="1" w:styleId="164">
    <w:name w:val="Metadata"/>
    <w:uiPriority w:val="0"/>
    <w:pPr>
      <w:spacing w:after="40" w:line="259" w:lineRule="auto"/>
    </w:pPr>
    <w:rPr>
      <w:rFonts w:ascii="Calibri" w:hAnsi="Calibri" w:eastAsiaTheme="minorEastAsia" w:cstheme="minorBidi"/>
      <w:sz w:val="21"/>
      <w:szCs w:val="22"/>
      <w:lang w:val="ru-RU" w:eastAsia="en-US" w:bidi="ar-SA"/>
    </w:rPr>
  </w:style>
  <w:style w:type="paragraph" w:customStyle="1" w:styleId="165">
    <w:name w:val="Note"/>
    <w:uiPriority w:val="0"/>
    <w:pPr>
      <w:spacing w:before="120" w:after="160" w:line="269" w:lineRule="auto"/>
    </w:pPr>
    <w:rPr>
      <w:rFonts w:ascii="Calibri" w:hAnsi="Calibri" w:eastAsiaTheme="minorEastAsia" w:cstheme="minorBidi"/>
      <w:sz w:val="21"/>
      <w:szCs w:val="22"/>
      <w:lang w:val="ru-RU" w:eastAsia="en-US" w:bidi="ar-SA"/>
    </w:rPr>
  </w:style>
  <w:style w:type="paragraph" w:customStyle="1" w:styleId="166">
    <w:name w:val="Table Text"/>
    <w:uiPriority w:val="0"/>
    <w:pPr>
      <w:spacing w:after="0" w:line="259" w:lineRule="auto"/>
    </w:pPr>
    <w:rPr>
      <w:rFonts w:ascii="Calibri" w:hAnsi="Calibri" w:eastAsiaTheme="minorEastAsia" w:cstheme="minorBidi"/>
      <w:color w:val="202020"/>
      <w:sz w:val="18"/>
      <w:szCs w:val="22"/>
      <w:lang w:val="ru-RU" w:eastAsia="en-US" w:bidi="ar-SA"/>
    </w:rPr>
  </w:style>
  <w:style w:type="paragraph" w:customStyle="1" w:styleId="167">
    <w:name w:val="Table Header"/>
    <w:uiPriority w:val="0"/>
    <w:pPr>
      <w:spacing w:after="0" w:line="259" w:lineRule="auto"/>
    </w:pPr>
    <w:rPr>
      <w:rFonts w:ascii="Calibri" w:hAnsi="Calibri" w:eastAsiaTheme="minorEastAsia" w:cstheme="minorBidi"/>
      <w:b/>
      <w:color w:val="FFFFFF"/>
      <w:sz w:val="18"/>
      <w:szCs w:val="22"/>
      <w:lang w:val="ru-RU" w:eastAsia="en-US" w:bidi="ar-SA"/>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C7B4345-2A7D-4B68-B1C6-7A5085949A62}">
  <ds:schemaRefs/>
</ds:datastoreItem>
</file>

<file path=docProps/app.xml><?xml version="1.0" encoding="utf-8"?>
<Properties xmlns="http://schemas.openxmlformats.org/officeDocument/2006/extended-properties" xmlns:vt="http://schemas.openxmlformats.org/officeDocument/2006/docPropsVTypes">
  <Template>Normal</Template>
  <Pages>8</Pages>
  <Words>3514</Words>
  <Characters>26589</Characters>
  <Lines>213</Lines>
  <Paragraphs>60</Paragraphs>
  <TotalTime>5</TotalTime>
  <ScaleCrop>false</ScaleCrop>
  <LinksUpToDate>false</LinksUpToDate>
  <CharactersWithSpaces>29871</CharactersWithSpaces>
  <Application>WPS Office_12.1.0.28485_F1E327BC-269C-435d-A152-05C5408002CA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2026-08-21T05:05:00Z</dcterms:created>
  <dc:creator>Заказчик</dc:creator>
  <dc:description>Переработанная редакция с самостоятельной структурой и связными разделами</dc:description>
  <cp:keywords>ЗЦП, техническая спецификация, ALAQAN Mektep, лицензия, техническое сопровождение</cp:keywords>
  <cp:lastModifiedBy>Бактыгуль Аккожиева</cp:lastModifiedBy>
  <dcterms:modified xsi:type="dcterms:W3CDTF">2026-10-15T04:42:43Z</dcterms:modified>
  <dc:subject>Подключение действующего АПК учета бесплатного питания к облачной платформе, лицензия и поддержка</dc:subject>
  <dc:title>Техническая спецификация: эксплуатация и интеграция действующего АПК</dc:title>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1049-12.1.0.28485</vt:lpwstr>
  </property>
  <property fmtid="{D5CDD505-2E9C-101B-9397-08002B2CF9AE}" pid="3" name="ICV">
    <vt:lpwstr>705FCE7A9203492DAE3DB54551684B74_13</vt:lpwstr>
  </property>
</Properties>
</file>