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2"/>
          <w:szCs w:val="32"/>
        </w:rPr>
      </w:pPr>
      <w:r w:rsidDel="00000000" w:rsidR="00000000" w:rsidRPr="00000000">
        <w:rPr>
          <w:b w:val="1"/>
          <w:bCs w:val="1"/>
          <w:sz w:val="32"/>
          <w:szCs w:val="32"/>
          <w:rtl w:val="0"/>
        </w:rPr>
        <w:t xml:space="preserve">Техническая спецификация</w:t>
      </w:r>
    </w:p>
    <w:p w:rsidR="00000000" w:rsidDel="00000000" w:rsidP="00000000" w:rsidRDefault="00000000" w:rsidRPr="00000000" w14:paraId="00000002">
      <w:pPr>
        <w:numPr>
          <w:ilvl w:val="0"/>
          <w:numId w:val="1"/>
        </w:numPr>
        <w:ind w:left="720" w:hanging="36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Услуги по технической подготовке и организации площадок для проведения соревнований по робототехнике - 1 шт</w:t>
      </w: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Все характеристики должны быть не менее: Исполнитель оказывает услуги по технической подготовке и организации двух тренировочно-соревновательных площадок для подготовки обучающихся к международным чемпионатам и фестивалям по робототехнике и инженерным исследованиям сезона 2026–2027: площадки для команд средних классов и площадки для команд начальной школы. Все материалы и элементы, необходимые для оказания услуг, предоставляются Исполнителем своими силами и за свой счёт и по окончании оказания услуг передаются Заказчику по акту. Для соревновательной площадки средних классов Исполнитель предоставляет и размещает на рабочем столе Заказчика один полноцветный игровой мат из гибкого износостойкого материала размером не менее 2200 мм в длину и не менее 1100 мм в ширину, а также предоставляет комплект строительных деталей для сборки тематических макетов и препятствий сезона 2026–2027 общим количеством не менее 1500 элементов поля, из которых может быть собрано не менее 15 игровых миссий. Кроме того, Исполнитель предоставляет один полный набор специализированных элементов для фиксации собранных моделей на поверхности мата и одно печатное руководство или детализированный набор схем для самостоятельного конструирования тренировочных механизмов и выполнения заданий. Материалы площадки должны поставляться в плотной коробке для удобной транспортировки и хранения. Для площадки исследовательских и инженерных заданий начальной школы Исполнитель предоставляет тематические игровые элементы, игровое поле, материалы для проведения исследовательских и инженерных заданий, методические материалы для педагогов и обучающихся, а также ресурсы для организации командной проектной деятельности. Тематическое наполнение площадки должно обеспечивать изучение тем, связанных с живыми организмами, биоразнообразием, природными экосистемами, устойчивым развитием и взаимодействием технологий и окружающей среды. Объём материалов должен быть достаточным для проведения не менее одного полного соревновательного сезона международной образовательной программы, посвящённой изучению живой природы, экосистем и биоразнообразия. Материалы должны быть совместимы с современными образовательными робототехническими платформами и конструкторами, используемыми в международных программах по робототехнике и инженерному образованию для детей младшего школьного возраста. Организованные площадки должны обеспечивать подготовку команд к участию в международных образовательных мероприятиях, выполнение исследовательских проектов, создание инженерных моделей и проведение практических занятий по STEM-направлениям. Они также должны способствовать развитию инженерного и вычислительного мышления, креативности, навыков решения проблем, коммуникации, командной работы и публичной презентации результатов исследований. Все предоставляемые материалы должны быть новыми, ранее не использованными и соответствовать официальным требованиям сезона 2026–2027. Услуги оказываются по адресу Заказчика в срок, установленный договором. Результатом оказания услуг являются две подготовленные и укомплектованные площадки, переданные Заказчику вместе с предоставленными материалами по акту оказанных услуг.</w:t>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