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E3B" w:rsidRPr="009F7F11" w:rsidRDefault="009F7F11" w:rsidP="00874C5B">
      <w:pPr>
        <w:spacing w:after="0" w:line="240" w:lineRule="auto"/>
        <w:ind w:firstLine="567"/>
        <w:jc w:val="center"/>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ТЕХНИЧЕСКАЯ</w:t>
      </w:r>
      <w:r w:rsidR="002E151B" w:rsidRPr="009F7F11">
        <w:rPr>
          <w:rFonts w:ascii="Times New Roman" w:eastAsia="Times New Roman" w:hAnsi="Times New Roman" w:cs="Times New Roman"/>
          <w:b/>
          <w:bCs/>
          <w:color w:val="000000"/>
          <w:sz w:val="20"/>
          <w:szCs w:val="20"/>
        </w:rPr>
        <w:t xml:space="preserve"> </w:t>
      </w:r>
      <w:r w:rsidRPr="009F7F11">
        <w:rPr>
          <w:rFonts w:ascii="Times New Roman" w:eastAsia="Times New Roman" w:hAnsi="Times New Roman" w:cs="Times New Roman"/>
          <w:b/>
          <w:bCs/>
          <w:color w:val="000000"/>
          <w:sz w:val="20"/>
          <w:szCs w:val="20"/>
        </w:rPr>
        <w:t>СПЕЦИФИКАЦИЯ</w:t>
      </w:r>
    </w:p>
    <w:p w:rsidR="00AA13F3" w:rsidRPr="009F7F11" w:rsidRDefault="00874C5B" w:rsidP="00663180">
      <w:pPr>
        <w:spacing w:after="0" w:line="240" w:lineRule="auto"/>
        <w:ind w:firstLine="567"/>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 услуги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p>
    <w:p w:rsidR="00D940EA" w:rsidRPr="009F7F11" w:rsidRDefault="00D940EA" w:rsidP="00663180">
      <w:pPr>
        <w:spacing w:after="0" w:line="240" w:lineRule="auto"/>
        <w:ind w:firstLine="567"/>
        <w:jc w:val="both"/>
        <w:rPr>
          <w:rFonts w:ascii="Times New Roman" w:eastAsia="Times New Roman" w:hAnsi="Times New Roman" w:cs="Times New Roman"/>
          <w:b/>
          <w:bCs/>
          <w:color w:val="000000"/>
          <w:sz w:val="20"/>
          <w:szCs w:val="20"/>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100"/>
        <w:gridCol w:w="7260"/>
      </w:tblGrid>
      <w:tr w:rsidR="00D940EA" w:rsidRPr="009F7F11" w:rsidTr="00D940EA">
        <w:tc>
          <w:tcPr>
            <w:tcW w:w="2100" w:type="dxa"/>
            <w:tcMar>
              <w:top w:w="80" w:type="dxa"/>
              <w:left w:w="120" w:type="dxa"/>
              <w:bottom w:w="80" w:type="dxa"/>
              <w:right w:w="120" w:type="dxa"/>
            </w:tcMar>
            <w:vAlign w:val="cente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Наименование услуги</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 (Далее по тексту – Мобильный комплекс)</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Единица измерения</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Услуга аренды мобильного комплекса</w:t>
            </w:r>
          </w:p>
        </w:tc>
      </w:tr>
      <w:tr w:rsidR="00D940EA" w:rsidRPr="009F7F11" w:rsidTr="00E3161E">
        <w:tc>
          <w:tcPr>
            <w:tcW w:w="2100" w:type="dxa"/>
            <w:tcMar>
              <w:top w:w="80" w:type="dxa"/>
              <w:left w:w="120" w:type="dxa"/>
              <w:bottom w:w="80" w:type="dxa"/>
              <w:right w:w="120" w:type="dxa"/>
            </w:tcMar>
            <w:vAlign w:val="cente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Количество комплекта</w:t>
            </w:r>
          </w:p>
        </w:tc>
        <w:tc>
          <w:tcPr>
            <w:tcW w:w="7260" w:type="dxa"/>
            <w:shd w:val="clear" w:color="auto" w:fill="FFFFFF" w:themeFill="background1"/>
            <w:tcMar>
              <w:top w:w="80" w:type="dxa"/>
              <w:left w:w="120" w:type="dxa"/>
              <w:bottom w:w="80" w:type="dxa"/>
              <w:right w:w="120" w:type="dxa"/>
            </w:tcMar>
            <w:vAlign w:val="center"/>
          </w:tcPr>
          <w:p w:rsidR="00D940EA" w:rsidRPr="00E3161E" w:rsidRDefault="00E3161E" w:rsidP="00E3161E">
            <w:pPr>
              <w:spacing w:after="0" w:line="240" w:lineRule="auto"/>
              <w:jc w:val="both"/>
              <w:rPr>
                <w:rFonts w:ascii="Times New Roman" w:eastAsia="Times New Roman" w:hAnsi="Times New Roman" w:cs="Times New Roman"/>
                <w:color w:val="000000"/>
                <w:sz w:val="20"/>
                <w:szCs w:val="20"/>
              </w:rPr>
            </w:pPr>
            <w:r w:rsidRPr="00E3161E">
              <w:rPr>
                <w:rFonts w:ascii="Times New Roman" w:eastAsia="Times New Roman" w:hAnsi="Times New Roman" w:cs="Times New Roman"/>
                <w:sz w:val="20"/>
                <w:szCs w:val="20"/>
              </w:rPr>
              <w:t xml:space="preserve">в количестве 1 </w:t>
            </w:r>
            <w:r w:rsidR="00D940EA" w:rsidRPr="00E3161E">
              <w:rPr>
                <w:rFonts w:ascii="Times New Roman" w:eastAsia="Times New Roman" w:hAnsi="Times New Roman" w:cs="Times New Roman"/>
                <w:sz w:val="20"/>
                <w:szCs w:val="20"/>
              </w:rPr>
              <w:t xml:space="preserve"> штук, </w:t>
            </w:r>
          </w:p>
        </w:tc>
      </w:tr>
      <w:tr w:rsidR="00D940EA" w:rsidRPr="009F7F11" w:rsidTr="00E3161E">
        <w:tc>
          <w:tcPr>
            <w:tcW w:w="2100" w:type="dxa"/>
            <w:tcMar>
              <w:top w:w="80" w:type="dxa"/>
              <w:left w:w="120" w:type="dxa"/>
              <w:bottom w:w="80" w:type="dxa"/>
              <w:right w:w="120" w:type="dxa"/>
            </w:tcMar>
            <w:vAlign w:val="cente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Год выпуска</w:t>
            </w:r>
          </w:p>
        </w:tc>
        <w:tc>
          <w:tcPr>
            <w:tcW w:w="7260" w:type="dxa"/>
            <w:shd w:val="clear" w:color="auto" w:fill="FFFFFF" w:themeFill="background1"/>
            <w:tcMar>
              <w:top w:w="80" w:type="dxa"/>
              <w:left w:w="120" w:type="dxa"/>
              <w:bottom w:w="80" w:type="dxa"/>
              <w:right w:w="120" w:type="dxa"/>
            </w:tcMar>
            <w:vAlign w:val="center"/>
          </w:tcPr>
          <w:p w:rsidR="00D940EA" w:rsidRPr="00E3161E" w:rsidRDefault="00D940EA" w:rsidP="00BF21D2">
            <w:pPr>
              <w:spacing w:after="0" w:line="240" w:lineRule="auto"/>
              <w:jc w:val="both"/>
              <w:rPr>
                <w:rFonts w:ascii="Times New Roman" w:eastAsia="Times New Roman" w:hAnsi="Times New Roman" w:cs="Times New Roman"/>
                <w:color w:val="000000"/>
                <w:sz w:val="20"/>
                <w:szCs w:val="20"/>
              </w:rPr>
            </w:pPr>
            <w:r w:rsidRPr="00E3161E">
              <w:rPr>
                <w:rFonts w:ascii="Times New Roman" w:eastAsia="Times New Roman" w:hAnsi="Times New Roman" w:cs="Times New Roman"/>
                <w:color w:val="000000"/>
                <w:sz w:val="20"/>
                <w:szCs w:val="20"/>
              </w:rPr>
              <w:t>2026</w:t>
            </w:r>
          </w:p>
        </w:tc>
      </w:tr>
      <w:tr w:rsidR="00D940EA" w:rsidRPr="009F7F11" w:rsidTr="00E3161E">
        <w:tc>
          <w:tcPr>
            <w:tcW w:w="2100" w:type="dxa"/>
            <w:tcMar>
              <w:top w:w="80" w:type="dxa"/>
              <w:left w:w="120" w:type="dxa"/>
              <w:bottom w:w="80" w:type="dxa"/>
              <w:right w:w="120" w:type="dxa"/>
            </w:tcMa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hAnsi="Times New Roman" w:cs="Times New Roman"/>
                <w:b/>
                <w:sz w:val="20"/>
                <w:szCs w:val="20"/>
              </w:rPr>
              <w:t>Срок поставки</w:t>
            </w:r>
          </w:p>
        </w:tc>
        <w:tc>
          <w:tcPr>
            <w:tcW w:w="7260" w:type="dxa"/>
            <w:shd w:val="clear" w:color="auto" w:fill="FFFFFF" w:themeFill="background1"/>
            <w:tcMar>
              <w:top w:w="80" w:type="dxa"/>
              <w:left w:w="120" w:type="dxa"/>
              <w:bottom w:w="80" w:type="dxa"/>
              <w:right w:w="120" w:type="dxa"/>
            </w:tcMar>
            <w:vAlign w:val="center"/>
          </w:tcPr>
          <w:p w:rsidR="00D940EA" w:rsidRPr="00E3161E" w:rsidRDefault="00053195" w:rsidP="00BF21D2">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 0</w:t>
            </w:r>
            <w:r w:rsidRPr="00053195">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lang w:val="kk-KZ"/>
              </w:rPr>
              <w:t xml:space="preserve">декабря </w:t>
            </w:r>
            <w:r w:rsidR="00D940EA" w:rsidRPr="00E3161E">
              <w:rPr>
                <w:rFonts w:ascii="Times New Roman" w:eastAsia="Times New Roman" w:hAnsi="Times New Roman" w:cs="Times New Roman"/>
                <w:color w:val="000000"/>
                <w:sz w:val="20"/>
                <w:szCs w:val="20"/>
              </w:rPr>
              <w:t xml:space="preserve"> по 31 декабря 2026 года</w:t>
            </w:r>
          </w:p>
        </w:tc>
      </w:tr>
      <w:tr w:rsidR="00D940EA" w:rsidRPr="009F7F11" w:rsidTr="00E3161E">
        <w:tc>
          <w:tcPr>
            <w:tcW w:w="2100" w:type="dxa"/>
            <w:tcMar>
              <w:top w:w="80" w:type="dxa"/>
              <w:left w:w="120" w:type="dxa"/>
              <w:bottom w:w="80" w:type="dxa"/>
              <w:right w:w="120" w:type="dxa"/>
            </w:tcMa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hAnsi="Times New Roman" w:cs="Times New Roman"/>
                <w:b/>
                <w:sz w:val="20"/>
                <w:szCs w:val="20"/>
              </w:rPr>
              <w:t>Место оказания услуги</w:t>
            </w:r>
          </w:p>
        </w:tc>
        <w:tc>
          <w:tcPr>
            <w:tcW w:w="7260" w:type="dxa"/>
            <w:shd w:val="clear" w:color="auto" w:fill="FFFFFF" w:themeFill="background1"/>
            <w:tcMar>
              <w:top w:w="80" w:type="dxa"/>
              <w:left w:w="120" w:type="dxa"/>
              <w:bottom w:w="80" w:type="dxa"/>
              <w:right w:w="120" w:type="dxa"/>
            </w:tcMar>
            <w:vAlign w:val="center"/>
          </w:tcPr>
          <w:p w:rsidR="00D940EA" w:rsidRPr="00E3161E" w:rsidRDefault="00E3161E" w:rsidP="00BF21D2">
            <w:pPr>
              <w:spacing w:after="0" w:line="240" w:lineRule="auto"/>
              <w:jc w:val="both"/>
              <w:rPr>
                <w:rFonts w:ascii="Times New Roman" w:eastAsia="Times New Roman" w:hAnsi="Times New Roman" w:cs="Times New Roman"/>
                <w:color w:val="000000"/>
                <w:sz w:val="20"/>
                <w:szCs w:val="20"/>
              </w:rPr>
            </w:pPr>
            <w:proofErr w:type="spellStart"/>
            <w:r>
              <w:rPr>
                <w:rFonts w:ascii="Times New Roman" w:eastAsia="Times New Roman" w:hAnsi="Times New Roman" w:cs="Times New Roman"/>
                <w:color w:val="000000"/>
                <w:sz w:val="20"/>
                <w:szCs w:val="20"/>
              </w:rPr>
              <w:t>Акмолинская</w:t>
            </w:r>
            <w:proofErr w:type="spellEnd"/>
            <w:r>
              <w:rPr>
                <w:rFonts w:ascii="Times New Roman" w:eastAsia="Times New Roman" w:hAnsi="Times New Roman" w:cs="Times New Roman"/>
                <w:color w:val="000000"/>
                <w:sz w:val="20"/>
                <w:szCs w:val="20"/>
              </w:rPr>
              <w:t xml:space="preserve"> область </w:t>
            </w:r>
            <w:proofErr w:type="spellStart"/>
            <w:r>
              <w:rPr>
                <w:rFonts w:ascii="Times New Roman" w:eastAsia="Times New Roman" w:hAnsi="Times New Roman" w:cs="Times New Roman"/>
                <w:color w:val="000000"/>
                <w:sz w:val="20"/>
                <w:szCs w:val="20"/>
              </w:rPr>
              <w:t>Есильский</w:t>
            </w:r>
            <w:proofErr w:type="spellEnd"/>
            <w:r>
              <w:rPr>
                <w:rFonts w:ascii="Times New Roman" w:eastAsia="Times New Roman" w:hAnsi="Times New Roman" w:cs="Times New Roman"/>
                <w:color w:val="000000"/>
                <w:sz w:val="20"/>
                <w:szCs w:val="20"/>
              </w:rPr>
              <w:t xml:space="preserve"> район </w:t>
            </w:r>
            <w:proofErr w:type="gramStart"/>
            <w:r>
              <w:rPr>
                <w:rFonts w:ascii="Times New Roman" w:eastAsia="Times New Roman" w:hAnsi="Times New Roman" w:cs="Times New Roman"/>
                <w:color w:val="000000"/>
                <w:sz w:val="20"/>
                <w:szCs w:val="20"/>
              </w:rPr>
              <w:t>г</w:t>
            </w:r>
            <w:proofErr w:type="gramEnd"/>
            <w:r>
              <w:rPr>
                <w:rFonts w:ascii="Times New Roman" w:eastAsia="Times New Roman" w:hAnsi="Times New Roman" w:cs="Times New Roman"/>
                <w:color w:val="000000"/>
                <w:sz w:val="20"/>
                <w:szCs w:val="20"/>
              </w:rPr>
              <w:t>. Есиль ул. Пушкина 7</w:t>
            </w:r>
          </w:p>
        </w:tc>
      </w:tr>
      <w:tr w:rsidR="00D940EA" w:rsidRPr="009F7F11" w:rsidTr="00D940EA">
        <w:tc>
          <w:tcPr>
            <w:tcW w:w="2100" w:type="dxa"/>
            <w:tcMar>
              <w:top w:w="80" w:type="dxa"/>
              <w:left w:w="120" w:type="dxa"/>
              <w:bottom w:w="80" w:type="dxa"/>
              <w:right w:w="120" w:type="dxa"/>
            </w:tcMar>
          </w:tcPr>
          <w:p w:rsidR="00D940EA" w:rsidRPr="009F7F11" w:rsidRDefault="00D940EA" w:rsidP="00D940EA">
            <w:pPr>
              <w:spacing w:after="0" w:line="240" w:lineRule="auto"/>
              <w:ind w:firstLine="22"/>
              <w:rPr>
                <w:rFonts w:ascii="Times New Roman" w:hAnsi="Times New Roman" w:cs="Times New Roman"/>
                <w:b/>
                <w:sz w:val="20"/>
                <w:szCs w:val="20"/>
              </w:rPr>
            </w:pPr>
            <w:r w:rsidRPr="009F7F11">
              <w:rPr>
                <w:rFonts w:ascii="Times New Roman" w:hAnsi="Times New Roman" w:cs="Times New Roman"/>
                <w:b/>
                <w:sz w:val="20"/>
                <w:szCs w:val="20"/>
              </w:rPr>
              <w:t>Формат оказания услуги</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Мобильный комплекс предоставляется поставщиком во временное пользование на срок оказания услуги без перехода права собственности к Заказчику.</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Общие требования к услуге</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Услуга включает передачу мобильного </w:t>
            </w:r>
            <w:proofErr w:type="gramStart"/>
            <w:r w:rsidRPr="009F7F11">
              <w:rPr>
                <w:rFonts w:ascii="Times New Roman" w:eastAsia="Times New Roman" w:hAnsi="Times New Roman" w:cs="Times New Roman"/>
                <w:color w:val="000000"/>
                <w:sz w:val="20"/>
                <w:szCs w:val="20"/>
              </w:rPr>
              <w:t>комплекса</w:t>
            </w:r>
            <w:proofErr w:type="gramEnd"/>
            <w:r w:rsidRPr="009F7F11">
              <w:rPr>
                <w:rFonts w:ascii="Times New Roman" w:eastAsia="Times New Roman" w:hAnsi="Times New Roman" w:cs="Times New Roman"/>
                <w:color w:val="000000"/>
                <w:sz w:val="20"/>
                <w:szCs w:val="20"/>
              </w:rPr>
              <w:t xml:space="preserve"> в том числе телемедицинской системы, во временное возмездное пользование, ввод в эксплуатацию, сервисное  и техническое обслуживание в течение срока аренды и первичное обучение работе с мобильным комплексом.</w:t>
            </w:r>
          </w:p>
          <w:p w:rsidR="009F7F11" w:rsidRPr="009F7F11" w:rsidRDefault="009F7F11"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Требования:</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оборудование должно быть новым, не бывшим в эксплуатации, без восстановленных узлов;</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для медицинских изделий должны быть представлены документы, подтверждающие возможность их законного обращения и применения на территории Республики Казахстан;</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поставка должна включать все кабели, адаптеры, элементы питания, переходники, принадлежности и программные компоненты, необходимые для полного рабочего цикла;</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поверхности многократного использования должны допускать обработку совместимыми дезинфицирующими средствами согласно инструкции изготовителя;</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электропитание стационарных компонентов — от сети 220 В, 50 Гц; сетевые вилки и адаптеры должны соответствовать условиям объекта;</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эксплуатационная документация и краткие инструкции пользователя предоставляются на русском языке; казахская версия предоставляется в объёме, установленном проектом или договором;</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гарантийный срок на оборудование — не менее срока аренды с даты ввода в эксплуатацию;</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поставщик обеспечивает первичную настройку, проверку связи приборов с планшетом, обучение пользователей и передачу контактных данных сервисной поддержки;</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серийные номера оборудования и версии программного обеспечения фиксируются в документах поставки и акте ввода в эксплуатацию.</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Нормативные требования</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Услуга оказывается с соблюдением законодательства Республики Казахстан о здравоохранении, государственных закупках, персональных данных, информатизации, санитарно-эпидемиологическом благополучии, </w:t>
            </w:r>
            <w:r w:rsidRPr="009F7F11">
              <w:rPr>
                <w:rFonts w:ascii="Times New Roman" w:eastAsia="Times New Roman" w:hAnsi="Times New Roman" w:cs="Times New Roman"/>
                <w:color w:val="000000"/>
                <w:sz w:val="20"/>
                <w:szCs w:val="20"/>
              </w:rPr>
              <w:lastRenderedPageBreak/>
              <w:t>электробезопасности и охране труда. Медицинские изделия, подлежащие регистрации, должны иметь на каждое оборудование согласно п.3 технической спецификации действующее регистрационное удостоверение Республики Казахстан, разрешающее обращение на территории Республики Казахстан, сертификаты соответствия, сертификаты поверки на оборудование, относящееся к средствам измерения.</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Нормативное основание</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Приложение 43 к Минимальным стандартам оснащения организаций здравоохранения медицинскими изделиями, утвержденным приказом Министра здравоохранения Республики Казахстан от 29 октября 2020 года № ҚР ДСМ-167/2020, с изменениями, внесенными приказом Министра здравоохранения Республики Казахстан от 13 мая 2026 года № 50. Требования являются минимальными, функциональными и нейтральными к производителю.</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Состав базового комплекта мобильного комплекса</w:t>
            </w:r>
          </w:p>
        </w:tc>
        <w:tc>
          <w:tcPr>
            <w:tcW w:w="7260" w:type="dxa"/>
            <w:tcMar>
              <w:top w:w="80" w:type="dxa"/>
              <w:left w:w="120" w:type="dxa"/>
              <w:bottom w:w="80" w:type="dxa"/>
              <w:right w:w="120" w:type="dxa"/>
            </w:tcMar>
            <w:vAlign w:val="center"/>
          </w:tcPr>
          <w:tbl>
            <w:tblPr>
              <w:tblW w:w="6845"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324"/>
              <w:gridCol w:w="1984"/>
              <w:gridCol w:w="3544"/>
              <w:gridCol w:w="993"/>
            </w:tblGrid>
            <w:tr w:rsidR="00D940EA" w:rsidRPr="009F7F11" w:rsidTr="00D940EA">
              <w:trPr>
                <w:tblHeader/>
              </w:trPr>
              <w:tc>
                <w:tcPr>
                  <w:tcW w:w="32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Наименование</w:t>
                  </w:r>
                </w:p>
              </w:tc>
              <w:tc>
                <w:tcPr>
                  <w:tcW w:w="354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Назначение</w:t>
                  </w:r>
                </w:p>
              </w:tc>
              <w:tc>
                <w:tcPr>
                  <w:tcW w:w="99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Базовое кол-во</w:t>
                  </w:r>
                </w:p>
              </w:tc>
            </w:tr>
            <w:tr w:rsidR="00D940EA" w:rsidRPr="009F7F11" w:rsidTr="00D940EA">
              <w:tc>
                <w:tcPr>
                  <w:tcW w:w="32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1</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электрокардиограф</w:t>
                  </w:r>
                </w:p>
              </w:tc>
              <w:tc>
                <w:tcPr>
                  <w:tcW w:w="354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Регистрация стандартной 12-отведённой ЭКГ</w:t>
                  </w:r>
                </w:p>
              </w:tc>
              <w:tc>
                <w:tcPr>
                  <w:tcW w:w="99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rsidTr="00D940EA">
              <w:tc>
                <w:tcPr>
                  <w:tcW w:w="32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2</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Цифровой </w:t>
                  </w:r>
                  <w:proofErr w:type="spellStart"/>
                  <w:r w:rsidRPr="009F7F11">
                    <w:rPr>
                      <w:rFonts w:ascii="Times New Roman" w:eastAsia="Times New Roman" w:hAnsi="Times New Roman" w:cs="Times New Roman"/>
                      <w:color w:val="000000"/>
                      <w:sz w:val="20"/>
                      <w:szCs w:val="20"/>
                    </w:rPr>
                    <w:t>стетофонендоскоп</w:t>
                  </w:r>
                  <w:proofErr w:type="spellEnd"/>
                </w:p>
              </w:tc>
              <w:tc>
                <w:tcPr>
                  <w:tcW w:w="354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Запись и передача звуков сердца и лёгких</w:t>
                  </w:r>
                </w:p>
              </w:tc>
              <w:tc>
                <w:tcPr>
                  <w:tcW w:w="99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rsidTr="00D940EA">
              <w:tc>
                <w:tcPr>
                  <w:tcW w:w="32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3</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Пальцевой пульсоксиметр</w:t>
                  </w:r>
                </w:p>
              </w:tc>
              <w:tc>
                <w:tcPr>
                  <w:tcW w:w="354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Измерение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и частоты пульса</w:t>
                  </w:r>
                </w:p>
              </w:tc>
              <w:tc>
                <w:tcPr>
                  <w:tcW w:w="99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1 шт.</w:t>
                  </w:r>
                </w:p>
              </w:tc>
            </w:tr>
            <w:tr w:rsidR="00D940EA" w:rsidRPr="009F7F11" w:rsidTr="00D940EA">
              <w:tc>
                <w:tcPr>
                  <w:tcW w:w="32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4</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ростомер с весами</w:t>
                  </w:r>
                </w:p>
              </w:tc>
              <w:tc>
                <w:tcPr>
                  <w:tcW w:w="354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Измерение роста и массы тела</w:t>
                  </w:r>
                </w:p>
              </w:tc>
              <w:tc>
                <w:tcPr>
                  <w:tcW w:w="99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rsidTr="00D940EA">
              <w:tc>
                <w:tcPr>
                  <w:tcW w:w="32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5</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отоскоп</w:t>
                  </w:r>
                </w:p>
              </w:tc>
              <w:tc>
                <w:tcPr>
                  <w:tcW w:w="354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Осмотр наружного слухового прохода и барабанной перепонки</w:t>
                  </w:r>
                </w:p>
              </w:tc>
              <w:tc>
                <w:tcPr>
                  <w:tcW w:w="99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rsidTr="00D940EA">
              <w:tc>
                <w:tcPr>
                  <w:tcW w:w="32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6</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Телемедицинская информационная система</w:t>
                  </w:r>
                </w:p>
              </w:tc>
              <w:tc>
                <w:tcPr>
                  <w:tcW w:w="354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 док-станция, клиентское ПО и веб-кабинет врача</w:t>
                  </w:r>
                </w:p>
              </w:tc>
              <w:tc>
                <w:tcPr>
                  <w:tcW w:w="99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bl>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Цифровой электрокардиограф</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Регистрация электрокардиограммы покоя с одновременным получением стандартных 12 отведений.</w:t>
            </w:r>
          </w:p>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 xml:space="preserve">Принцип работы. </w:t>
            </w:r>
            <w:r w:rsidRPr="009F7F11">
              <w:rPr>
                <w:rFonts w:ascii="Times New Roman" w:eastAsia="Times New Roman" w:hAnsi="Times New Roman" w:cs="Times New Roman"/>
                <w:color w:val="000000"/>
                <w:sz w:val="20"/>
                <w:szCs w:val="20"/>
              </w:rPr>
              <w:t xml:space="preserve">Электрические потенциалы сердца снимаются десятью электродами, усиливаются и оцифровываются в компактном модуле регистрации. Цифровой сигнал передаётся на планшет по Bluetooth или по кабелю USB, отображается в реальном времени и сохраняется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Автоматическая обработка может формировать измерения и предварительное заключение, подлежащее проверке врачом.</w:t>
            </w:r>
          </w:p>
          <w:p w:rsidR="00D940EA" w:rsidRPr="009F7F11" w:rsidRDefault="00D940EA" w:rsidP="00BF21D2">
            <w:pPr>
              <w:spacing w:after="0" w:line="240" w:lineRule="auto"/>
              <w:ind w:firstLine="567"/>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МИНИМАЛЬНЫЕ ТЕХНИЧЕСКИЕ ПАРАМЕТРЫ</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1883"/>
              <w:gridCol w:w="4961"/>
            </w:tblGrid>
            <w:tr w:rsidR="00D940EA" w:rsidRPr="009F7F11" w:rsidTr="00BF21D2">
              <w:trPr>
                <w:tblHeader/>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Тип исследования</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ЭКГ покоя; одновременная регистрация 12 стандартных отведений</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Электродная система</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10-проводной кабель: 4 </w:t>
                  </w:r>
                  <w:proofErr w:type="spellStart"/>
                  <w:r w:rsidRPr="009F7F11">
                    <w:rPr>
                      <w:rFonts w:ascii="Times New Roman" w:eastAsia="Times New Roman" w:hAnsi="Times New Roman" w:cs="Times New Roman"/>
                      <w:color w:val="000000"/>
                      <w:sz w:val="20"/>
                      <w:szCs w:val="20"/>
                    </w:rPr>
                    <w:t>конечностных</w:t>
                  </w:r>
                  <w:proofErr w:type="spellEnd"/>
                  <w:r w:rsidRPr="009F7F11">
                    <w:rPr>
                      <w:rFonts w:ascii="Times New Roman" w:eastAsia="Times New Roman" w:hAnsi="Times New Roman" w:cs="Times New Roman"/>
                      <w:color w:val="000000"/>
                      <w:sz w:val="20"/>
                      <w:szCs w:val="20"/>
                    </w:rPr>
                    <w:t xml:space="preserve"> и 6 грудных электродов</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Разрядность АЦП</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 бит</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Частота дискретизации</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2 000 отсчётов/с на канал</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Частотный диапазон</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0,05 до 150 Гц</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Подавление синфазной помехи</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100 дБ при отключённом сетевом фильтре</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ЧСС</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30 до 300 уд/мин; предел допускаемой погрешности — не более ±1 уд/мин или ±1 %</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Фильтрация</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Сетевой, мышечный, дрейфа изолинии и низкочастотный/высокочастотный цифровые фильтры без клинически значимого искажения формы сигнала</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Интерфейсы</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версии 4.0 или выше и проводное подключение USB</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4 часов при передаче данных по Bluetooth; при подключении по USB допускается питание от планшета или док-станции</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 модуля</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130 × 70 × 25 мм</w:t>
                  </w:r>
                </w:p>
              </w:tc>
            </w:tr>
            <w:tr w:rsidR="00D940EA" w:rsidRPr="009F7F11" w:rsidTr="004F7578">
              <w:trPr>
                <w:cantSplit/>
                <w:trHeight w:val="15"/>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Форматы результата</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и сохранение кривых ЭКГ; формирование отчёта и экспорт не менее чем в PDF и графический формат</w:t>
                  </w:r>
                </w:p>
              </w:tc>
            </w:tr>
          </w:tbl>
          <w:p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КОМПЛЕКТНОСТЬ</w:t>
            </w:r>
          </w:p>
          <w:p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модуль регистрации ЭКГ;</w:t>
            </w:r>
          </w:p>
          <w:p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10-проводной кабель;</w:t>
            </w:r>
          </w:p>
          <w:p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комплект многоразовых либо одноразовых грудных и </w:t>
            </w:r>
            <w:proofErr w:type="spellStart"/>
            <w:r w:rsidRPr="009F7F11">
              <w:rPr>
                <w:rFonts w:ascii="Times New Roman" w:eastAsia="Times New Roman" w:hAnsi="Times New Roman" w:cs="Times New Roman"/>
                <w:color w:val="000000"/>
                <w:sz w:val="20"/>
                <w:szCs w:val="20"/>
              </w:rPr>
              <w:t>конечностных</w:t>
            </w:r>
            <w:proofErr w:type="spellEnd"/>
            <w:r w:rsidRPr="009F7F11">
              <w:rPr>
                <w:rFonts w:ascii="Times New Roman" w:eastAsia="Times New Roman" w:hAnsi="Times New Roman" w:cs="Times New Roman"/>
                <w:color w:val="000000"/>
                <w:sz w:val="20"/>
                <w:szCs w:val="20"/>
              </w:rPr>
              <w:t xml:space="preserve"> электродов;</w:t>
            </w:r>
          </w:p>
          <w:p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USB-кабель, элементы питания и беспроводной адаптер, если он требуется конструкцией;</w:t>
            </w:r>
          </w:p>
          <w:p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клиентское программное обеспечение или интеграционный модуль;</w:t>
            </w:r>
          </w:p>
          <w:p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инструкция по эксплуатации и средства первичного запуска.</w:t>
            </w:r>
          </w:p>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color w:val="000000"/>
                <w:sz w:val="20"/>
                <w:szCs w:val="20"/>
              </w:rPr>
              <w:t xml:space="preserve">ЭКГ должна автоматически сохраняться в карточке </w:t>
            </w:r>
            <w:r w:rsidR="004F7578" w:rsidRPr="009F7F11">
              <w:rPr>
                <w:rFonts w:ascii="Times New Roman" w:eastAsia="Times New Roman" w:hAnsi="Times New Roman" w:cs="Times New Roman"/>
                <w:color w:val="000000"/>
                <w:sz w:val="20"/>
                <w:szCs w:val="20"/>
              </w:rPr>
              <w:t xml:space="preserve">обследуемого </w:t>
            </w:r>
            <w:r w:rsidRPr="009F7F11">
              <w:rPr>
                <w:rFonts w:ascii="Times New Roman" w:eastAsia="Times New Roman" w:hAnsi="Times New Roman" w:cs="Times New Roman"/>
                <w:color w:val="000000"/>
                <w:sz w:val="20"/>
                <w:szCs w:val="20"/>
              </w:rPr>
              <w:t>и быть доступна на планшете и в веб-кабинете врача с возможностью масштабирования, повторного просмотра и формирования отчёта.</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 xml:space="preserve">Цифровой </w:t>
            </w:r>
            <w:proofErr w:type="spellStart"/>
            <w:r w:rsidRPr="009F7F11">
              <w:rPr>
                <w:rFonts w:ascii="Times New Roman" w:eastAsia="Times New Roman" w:hAnsi="Times New Roman" w:cs="Times New Roman"/>
                <w:b/>
                <w:bCs/>
                <w:color w:val="000000"/>
                <w:sz w:val="20"/>
                <w:szCs w:val="20"/>
              </w:rPr>
              <w:t>стетофонендоскоп</w:t>
            </w:r>
            <w:proofErr w:type="spellEnd"/>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Аускультация, усиление, запись и дистанционная передача звуков сердца и лёгких.</w:t>
            </w:r>
          </w:p>
          <w:p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Акустический датчик преобразует механические колебания в электрический сигнал. Встроенная цифровая обработка усиливает полезный сигнал, снижает фоновый шум и формирует звуковую запись и визуальную фонокардиограмму. Запись передаётся на планшет и доступна удалённому врачу для прослушивания.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1741"/>
              <w:gridCol w:w="5103"/>
            </w:tblGrid>
            <w:tr w:rsidR="00D940EA" w:rsidRPr="009F7F11" w:rsidTr="00BF21D2">
              <w:trPr>
                <w:tblHeader/>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Режимы</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Режимы аускультации сердца и лёгких; не менее 3 уровней регулировки громкости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Рабочий диапазон частот</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10 до 2 000 Гц</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Обработка сигнала</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Цифровое усиление, подавление фонового шума, запись и воспроизведение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Визуализация</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состояния на встроенном дисплее и/или в приложении; фонокардиограмма в реальном времени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версии 4.0 или выше; автоматическая передача записи на планшет</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Автономная работа</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60 часов; время полной зарядки не более 4 часов</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Защита корпуса</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ниже IP22</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Ø60 × 80 мм</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160 г</w:t>
                  </w:r>
                </w:p>
              </w:tc>
            </w:tr>
          </w:tbl>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Запись аускультации должна автоматически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и воспроизводиться на планшете и в веб-кабинете врача без потери клинически значимого качества.</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Пульсоксиметр цифровой</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Неинвазивное экспресс-измерение насыщения артериальной крови кислородом и частоты пульса.</w:t>
            </w:r>
          </w:p>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xml:space="preserve">. Красный и инфракрасный свет проходят через ткань пальца. По различию поглощения света пульсирующей кровью прибор </w:t>
            </w:r>
            <w:proofErr w:type="spellStart"/>
            <w:r w:rsidRPr="009F7F11">
              <w:rPr>
                <w:rFonts w:ascii="Times New Roman" w:eastAsia="Times New Roman" w:hAnsi="Times New Roman" w:cs="Times New Roman"/>
                <w:color w:val="000000"/>
                <w:sz w:val="20"/>
                <w:szCs w:val="20"/>
              </w:rPr>
              <w:t>фотоплетизмографическим</w:t>
            </w:r>
            <w:proofErr w:type="spellEnd"/>
            <w:r w:rsidRPr="009F7F11">
              <w:rPr>
                <w:rFonts w:ascii="Times New Roman" w:eastAsia="Times New Roman" w:hAnsi="Times New Roman" w:cs="Times New Roman"/>
                <w:color w:val="000000"/>
                <w:sz w:val="20"/>
                <w:szCs w:val="20"/>
              </w:rPr>
              <w:t xml:space="preserve"> методом рассчитывает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и частоту пульса и выводит значения на собственный дисплей.</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1741"/>
              <w:gridCol w:w="5103"/>
            </w:tblGrid>
            <w:tr w:rsidR="00D940EA" w:rsidRPr="009F7F11" w:rsidTr="00BF21D2">
              <w:trPr>
                <w:tblHeader/>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Измеряемые параметры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Насыщение крови кислородом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частота пульса и индикация качества сигнала или перфузии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Диапазон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0 до 100 %; нормируемый диапазон точности — от 70 до 100 %</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Точность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±2 процентных пунктов; при движении — не более ±3 процентных пунктов</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пульса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25 до 250 уд/мин</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Точность пульса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±2 уд/мин; при движении — не более ±4 уд/мин</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Время получения результата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4 секунд при неподвижном пациенте и устойчивом сигнале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Дисплей</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Встроенный дисплей с крупной индикацией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частоты пульса, качества сигнала и уровня заряда</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с автоматической передачей измеренных значений на планшет</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65 × 40 × 40 мм</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30 часов непрерывного мониторинга</w:t>
                  </w:r>
                </w:p>
              </w:tc>
            </w:tr>
          </w:tbl>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Измеренные значения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 xml:space="preserve">₂ и частоты пульса должны автоматически передаваться по Bluetooth на планшет и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Цифровой ростомер с весами</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xml:space="preserve">. Измерение роста и массы тела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с отображением результатов на встроенном экране.</w:t>
            </w:r>
          </w:p>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xml:space="preserve"> Масса определяется тензометрическим датчиком платформы, рост — электронным или электромеханическим датчиком вертикальной стойки. Врач считывает рост и массу с дисплея и вручную вводит их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на планшете. Индекс массы тела рассчитывается только программным обеспечением планшета по формуле ИМТ = масса (кг) / рост² (м²).</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1741"/>
              <w:gridCol w:w="5103"/>
            </w:tblGrid>
            <w:tr w:rsidR="00D940EA" w:rsidRPr="009F7F11" w:rsidTr="00BF21D2">
              <w:trPr>
                <w:tblHeader/>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Параметр</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Единый цифровой прибор: напольная весовая платформа, вертикальный измеритель роста и встроенный дисплей</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измерения роста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80 до 210 см или шире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Дискретность роста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0,5 см или меньше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Допустимая погрешность роста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±0,5 см</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измерения массы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5 до 200 кг или шире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Дискретность массы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0,1 кг или меньше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Допустимая погрешность массы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±0,2 кг либо в пределах норм, установленных для утверждённого типа средства измерений</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Раздельное или последовательное отображение роста и массы на встроенном экране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Не требуется; прибор работает автономно, показания вводятся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вручную</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Расчёт ИМТ</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Автоматически на планшете после ввода роста и массы; результат сохраняется в карточке </w:t>
                  </w:r>
                  <w:r w:rsidR="004F7578" w:rsidRPr="009F7F11">
                    <w:rPr>
                      <w:rFonts w:ascii="Times New Roman" w:eastAsia="Times New Roman" w:hAnsi="Times New Roman" w:cs="Times New Roman"/>
                      <w:color w:val="000000"/>
                      <w:sz w:val="20"/>
                      <w:szCs w:val="20"/>
                    </w:rPr>
                    <w:t>обследуемого</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600 × 600 × 2 300 мм в рабочем положении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сети 220 В, 50 Гц и/или от встроенного либо сменного источника питания</w:t>
                  </w:r>
                </w:p>
              </w:tc>
            </w:tr>
          </w:tbl>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Цифровой отоскоп</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Визуальный осмотр наружного слухового прохода и барабанной перепонки с передачей изображения на планшет.</w:t>
            </w:r>
          </w:p>
          <w:p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 xml:space="preserve">Принцип работы. </w:t>
            </w:r>
            <w:r w:rsidRPr="009F7F11">
              <w:rPr>
                <w:rFonts w:ascii="Times New Roman" w:eastAsia="Times New Roman" w:hAnsi="Times New Roman" w:cs="Times New Roman"/>
                <w:color w:val="000000"/>
                <w:sz w:val="20"/>
                <w:szCs w:val="20"/>
              </w:rPr>
              <w:t xml:space="preserve">Миниатюрная цифровая камера с кольцевой холодной светодиодной подсветкой формирует увеличенное изображение слухового прохода. Отоскоп подключается к планшету кабелем USB. Медицинский работник выполняет фотоснимок и прикрепляет его к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Запись видео не предусмотрена.</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1741"/>
              <w:gridCol w:w="5103"/>
            </w:tblGrid>
            <w:tr w:rsidR="00D940EA" w:rsidRPr="009F7F11" w:rsidTr="00BF21D2">
              <w:trPr>
                <w:tblHeader/>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Тип</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Ручной цифровой отоскоп с многоразовой камерой и сменными ушными воронками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Разрешение изображения</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1 280 × 720 пикселей</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Диаметр рабочей части</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4,0 мм</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Рабочая длина</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20 мм</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Поле зрения</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120°</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Подсветка</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Холодные белые светодиоды; яркость должна обеспечивать равномерный осмотр без перегрева ткани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Функции изображения</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изображения в реальном времени, автоматический баланс белого и формирование фотоснимков; запись видео не предусмотрена</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Проводное подключение USB с передачей изображения и фотоснимков на планшет; необходимые переходники входят в комплект</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 исполнения</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Ручное исполнение; длина основного блока не более 200 мм, максимальный поперечный размер не более 40 мм</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Расходные материалы</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Одноразовые ушные воронки/насадки подходящего размера, исключающие перекрёстное загрязнение</w:t>
                  </w:r>
                </w:p>
              </w:tc>
            </w:tr>
          </w:tbl>
          <w:p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Фотоснимки отоскопии должны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на планшете и передаваться в веб-кабинет врача.</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Телемедицинская информационная система (Планшет и док-станция)</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xml:space="preserve">. Единая точка управления исследованиями на объекте: идентификация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подключение приборов, ручной ввод показателей, локальный просмотр, связь с врачом и передача данных.</w:t>
            </w:r>
          </w:p>
          <w:p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ПЛАНШЕТ</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1741"/>
              <w:gridCol w:w="5103"/>
            </w:tblGrid>
            <w:tr w:rsidR="00D940EA" w:rsidRPr="009F7F11" w:rsidTr="00BF21D2">
              <w:trPr>
                <w:tblHeader/>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Экран</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Диагональ от 10,9 до 11,0 дюйма; IPS/</w:t>
                  </w:r>
                  <w:proofErr w:type="spellStart"/>
                  <w:r w:rsidRPr="009F7F11">
                    <w:rPr>
                      <w:rFonts w:ascii="Times New Roman" w:eastAsia="Times New Roman" w:hAnsi="Times New Roman" w:cs="Times New Roman"/>
                      <w:color w:val="000000"/>
                      <w:sz w:val="20"/>
                      <w:szCs w:val="20"/>
                    </w:rPr>
                    <w:t>In-cell</w:t>
                  </w:r>
                  <w:proofErr w:type="spellEnd"/>
                  <w:r w:rsidRPr="009F7F11">
                    <w:rPr>
                      <w:rFonts w:ascii="Times New Roman" w:eastAsia="Times New Roman" w:hAnsi="Times New Roman" w:cs="Times New Roman"/>
                      <w:color w:val="000000"/>
                      <w:sz w:val="20"/>
                      <w:szCs w:val="20"/>
                    </w:rPr>
                    <w:t xml:space="preserve"> или эквивалент; разрешение не менее 1 920 × 1 200 пикселей; ёмкостный </w:t>
                  </w:r>
                  <w:proofErr w:type="spellStart"/>
                  <w:r w:rsidRPr="009F7F11">
                    <w:rPr>
                      <w:rFonts w:ascii="Times New Roman" w:eastAsia="Times New Roman" w:hAnsi="Times New Roman" w:cs="Times New Roman"/>
                      <w:color w:val="000000"/>
                      <w:sz w:val="20"/>
                      <w:szCs w:val="20"/>
                    </w:rPr>
                    <w:t>мультитач</w:t>
                  </w:r>
                  <w:proofErr w:type="spellEnd"/>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Процессор</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Восьмиядерный процессор: не менее 2 производительных ядер с частотой от 2,2 ГГц и 6 энергоэффективных ядер с частотой от 2,0 ГГц</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Оперативная память</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6 ГБ</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Встроенная память</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128 ГБ</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Операционная система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Мобильная операционная система на базе </w:t>
                  </w:r>
                  <w:proofErr w:type="spellStart"/>
                  <w:r w:rsidRPr="009F7F11">
                    <w:rPr>
                      <w:rFonts w:ascii="Times New Roman" w:eastAsia="Times New Roman" w:hAnsi="Times New Roman" w:cs="Times New Roman"/>
                      <w:color w:val="000000"/>
                      <w:sz w:val="20"/>
                      <w:szCs w:val="20"/>
                    </w:rPr>
                    <w:t>Android</w:t>
                  </w:r>
                  <w:proofErr w:type="spellEnd"/>
                  <w:r w:rsidRPr="009F7F11">
                    <w:rPr>
                      <w:rFonts w:ascii="Times New Roman" w:eastAsia="Times New Roman" w:hAnsi="Times New Roman" w:cs="Times New Roman"/>
                      <w:color w:val="000000"/>
                      <w:sz w:val="20"/>
                      <w:szCs w:val="20"/>
                    </w:rPr>
                    <w:t xml:space="preserve"> версии 14 или новее, совместимая с клиентским приложением комплекса</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Беспроводная связь</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proofErr w:type="spellStart"/>
                  <w:r w:rsidRPr="009F7F11">
                    <w:rPr>
                      <w:rFonts w:ascii="Times New Roman" w:eastAsia="Times New Roman" w:hAnsi="Times New Roman" w:cs="Times New Roman"/>
                      <w:color w:val="000000"/>
                      <w:sz w:val="20"/>
                      <w:szCs w:val="20"/>
                    </w:rPr>
                    <w:t>Wi-Fi</w:t>
                  </w:r>
                  <w:proofErr w:type="spellEnd"/>
                  <w:r w:rsidRPr="009F7F11">
                    <w:rPr>
                      <w:rFonts w:ascii="Times New Roman" w:eastAsia="Times New Roman" w:hAnsi="Times New Roman" w:cs="Times New Roman"/>
                      <w:color w:val="000000"/>
                      <w:sz w:val="20"/>
                      <w:szCs w:val="20"/>
                    </w:rPr>
                    <w:t xml:space="preserve"> 2,4/5 ГГц стандартов не ниже 802.11 </w:t>
                  </w:r>
                  <w:proofErr w:type="spellStart"/>
                  <w:r w:rsidRPr="009F7F11">
                    <w:rPr>
                      <w:rFonts w:ascii="Times New Roman" w:eastAsia="Times New Roman" w:hAnsi="Times New Roman" w:cs="Times New Roman"/>
                      <w:color w:val="000000"/>
                      <w:sz w:val="20"/>
                      <w:szCs w:val="20"/>
                    </w:rPr>
                    <w:t>a</w:t>
                  </w:r>
                  <w:proofErr w:type="spellEnd"/>
                  <w:r w:rsidRPr="009F7F11">
                    <w:rPr>
                      <w:rFonts w:ascii="Times New Roman" w:eastAsia="Times New Roman" w:hAnsi="Times New Roman" w:cs="Times New Roman"/>
                      <w:color w:val="000000"/>
                      <w:sz w:val="20"/>
                      <w:szCs w:val="20"/>
                    </w:rPr>
                    <w:t>/</w:t>
                  </w:r>
                  <w:proofErr w:type="spellStart"/>
                  <w:r w:rsidRPr="009F7F11">
                    <w:rPr>
                      <w:rFonts w:ascii="Times New Roman" w:eastAsia="Times New Roman" w:hAnsi="Times New Roman" w:cs="Times New Roman"/>
                      <w:color w:val="000000"/>
                      <w:sz w:val="20"/>
                      <w:szCs w:val="20"/>
                    </w:rPr>
                    <w:t>b</w:t>
                  </w:r>
                  <w:proofErr w:type="spellEnd"/>
                  <w:r w:rsidRPr="009F7F11">
                    <w:rPr>
                      <w:rFonts w:ascii="Times New Roman" w:eastAsia="Times New Roman" w:hAnsi="Times New Roman" w:cs="Times New Roman"/>
                      <w:color w:val="000000"/>
                      <w:sz w:val="20"/>
                      <w:szCs w:val="20"/>
                    </w:rPr>
                    <w:t>/</w:t>
                  </w:r>
                  <w:proofErr w:type="spellStart"/>
                  <w:r w:rsidRPr="009F7F11">
                    <w:rPr>
                      <w:rFonts w:ascii="Times New Roman" w:eastAsia="Times New Roman" w:hAnsi="Times New Roman" w:cs="Times New Roman"/>
                      <w:color w:val="000000"/>
                      <w:sz w:val="20"/>
                      <w:szCs w:val="20"/>
                    </w:rPr>
                    <w:t>g</w:t>
                  </w:r>
                  <w:proofErr w:type="spellEnd"/>
                  <w:r w:rsidRPr="009F7F11">
                    <w:rPr>
                      <w:rFonts w:ascii="Times New Roman" w:eastAsia="Times New Roman" w:hAnsi="Times New Roman" w:cs="Times New Roman"/>
                      <w:color w:val="000000"/>
                      <w:sz w:val="20"/>
                      <w:szCs w:val="20"/>
                    </w:rPr>
                    <w:t>/</w:t>
                  </w:r>
                  <w:proofErr w:type="spellStart"/>
                  <w:r w:rsidRPr="009F7F11">
                    <w:rPr>
                      <w:rFonts w:ascii="Times New Roman" w:eastAsia="Times New Roman" w:hAnsi="Times New Roman" w:cs="Times New Roman"/>
                      <w:color w:val="000000"/>
                      <w:sz w:val="20"/>
                      <w:szCs w:val="20"/>
                    </w:rPr>
                    <w:t>n</w:t>
                  </w:r>
                  <w:proofErr w:type="spellEnd"/>
                  <w:r w:rsidRPr="009F7F11">
                    <w:rPr>
                      <w:rFonts w:ascii="Times New Roman" w:eastAsia="Times New Roman" w:hAnsi="Times New Roman" w:cs="Times New Roman"/>
                      <w:color w:val="000000"/>
                      <w:sz w:val="20"/>
                      <w:szCs w:val="20"/>
                    </w:rPr>
                    <w:t>/</w:t>
                  </w:r>
                  <w:proofErr w:type="spellStart"/>
                  <w:r w:rsidRPr="009F7F11">
                    <w:rPr>
                      <w:rFonts w:ascii="Times New Roman" w:eastAsia="Times New Roman" w:hAnsi="Times New Roman" w:cs="Times New Roman"/>
                      <w:color w:val="000000"/>
                      <w:sz w:val="20"/>
                      <w:szCs w:val="20"/>
                    </w:rPr>
                    <w:t>ac</w:t>
                  </w:r>
                  <w:proofErr w:type="spellEnd"/>
                  <w:r w:rsidRPr="009F7F11">
                    <w:rPr>
                      <w:rFonts w:ascii="Times New Roman" w:eastAsia="Times New Roman" w:hAnsi="Times New Roman" w:cs="Times New Roman"/>
                      <w:color w:val="000000"/>
                      <w:sz w:val="20"/>
                      <w:szCs w:val="20"/>
                    </w:rPr>
                    <w:t xml:space="preserve">; </w:t>
                  </w:r>
                  <w:proofErr w:type="spellStart"/>
                  <w:r w:rsidRPr="009F7F11">
                    <w:rPr>
                      <w:rFonts w:ascii="Times New Roman" w:eastAsia="Times New Roman" w:hAnsi="Times New Roman" w:cs="Times New Roman"/>
                      <w:color w:val="000000"/>
                      <w:sz w:val="20"/>
                      <w:szCs w:val="20"/>
                    </w:rPr>
                    <w:t>Bluetooth</w:t>
                  </w:r>
                  <w:proofErr w:type="spellEnd"/>
                  <w:r w:rsidRPr="009F7F11">
                    <w:rPr>
                      <w:rFonts w:ascii="Times New Roman" w:eastAsia="Times New Roman" w:hAnsi="Times New Roman" w:cs="Times New Roman"/>
                      <w:color w:val="000000"/>
                      <w:sz w:val="20"/>
                      <w:szCs w:val="20"/>
                    </w:rPr>
                    <w:t xml:space="preserve"> не ниже 5.0; 4G/LTE — при необходимости по условиям объекта</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Камеры и звук</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Фронтальная камера не менее 5 Мп; основная камера не менее 8 Мп с </w:t>
                  </w:r>
                  <w:proofErr w:type="spellStart"/>
                  <w:r w:rsidRPr="009F7F11">
                    <w:rPr>
                      <w:rFonts w:ascii="Times New Roman" w:eastAsia="Times New Roman" w:hAnsi="Times New Roman" w:cs="Times New Roman"/>
                      <w:color w:val="000000"/>
                      <w:sz w:val="20"/>
                      <w:szCs w:val="20"/>
                    </w:rPr>
                    <w:t>автофокусом</w:t>
                  </w:r>
                  <w:proofErr w:type="spellEnd"/>
                  <w:r w:rsidRPr="009F7F11">
                    <w:rPr>
                      <w:rFonts w:ascii="Times New Roman" w:eastAsia="Times New Roman" w:hAnsi="Times New Roman" w:cs="Times New Roman"/>
                      <w:color w:val="000000"/>
                      <w:sz w:val="20"/>
                      <w:szCs w:val="20"/>
                    </w:rPr>
                    <w:t>; встроенные микрофон и динамики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Аккумулятор</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Ёмкость не менее 8 000 мА·ч; поддержка зарядки через USB Type-C и/или док-станцию</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 Type-C с поддержкой данных и OTG; контакты или интерфейс подключения док-станции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257 × 169 × 8 мм</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550 г</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Языки интерфейса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Русский и казахский</w:t>
                  </w:r>
                </w:p>
              </w:tc>
            </w:tr>
          </w:tbl>
          <w:p w:rsidR="00D940EA" w:rsidRPr="009F7F11" w:rsidRDefault="00D940EA" w:rsidP="00BF21D2">
            <w:pPr>
              <w:spacing w:after="0" w:line="240" w:lineRule="auto"/>
              <w:ind w:firstLine="567"/>
              <w:jc w:val="both"/>
              <w:rPr>
                <w:rFonts w:ascii="Times New Roman" w:eastAsia="Times New Roman" w:hAnsi="Times New Roman" w:cs="Times New Roman"/>
                <w:b/>
                <w:bCs/>
                <w:color w:val="000000"/>
                <w:sz w:val="20"/>
                <w:szCs w:val="20"/>
              </w:rPr>
            </w:pPr>
          </w:p>
          <w:p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ДОК-СТАНЦИЯ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1741"/>
              <w:gridCol w:w="5103"/>
            </w:tblGrid>
            <w:tr w:rsidR="00D940EA" w:rsidRPr="009F7F11" w:rsidTr="00BF21D2">
              <w:trPr>
                <w:tblHeader/>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Устойчивая настольная конструкция с фиксацией планшета и зарядкой в установленном положении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Вход постоянного тока 12 В / 3 А либо эквивалент; сетевой адаптер 220 В входит в комплект</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Порты расширения</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 × USB Type-A в режиме Host и 2 × USB Type-C с выходом питания 5 В / 2 А либо функционально эквивалентный набор портов</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Назначение портов</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Подключение отоскопа, кабельных медицинских приборов, накопителя, клавиатуры или иных периферийных устройств</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300 × 200 × 100 мм без установленного планшета</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Комплектность</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Док-станция, сетевой адаптер, силовой кабель и необходимые соединительные кабели</w:t>
                  </w:r>
                </w:p>
              </w:tc>
            </w:tr>
          </w:tbl>
          <w:p w:rsidR="00D940EA" w:rsidRPr="009F7F11" w:rsidRDefault="00D940EA" w:rsidP="00BF21D2">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 должен поддерживать защищённый режим работы клиентского приложения, автоматическое восстановление после перезапуска и сохранение несинхронизированных данных при временном отсутствии сети.</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Веб-кабинет врача</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Удалённый доступ врача к карточкам пациентов, результатам обследований и инструментам формирования медицинского заключения через веб-браузер.</w:t>
            </w:r>
          </w:p>
          <w:p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ФУНКЦИОНАЛЬНЫЕ ТРЕБОВАНИЯ</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защищённая авторизация, разграничение прав доступа по ролям и журнал действий пользователей;</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поиск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и просмотр хронологии обследований;</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12-отведённой ЭКГ, масштабирование сигнала, просмотр измерений и сформированного отчёта;</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прослушивание записей цифровой аускультации и просмотр фонокардиограммы;</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просмотр фотографий отоскопии;</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отображение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частоты пульса, роста, массы тела и автоматически рассчитанного ИМТ;</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аудио- и видеосвязь с медицинским работником на объекте при наличии канала связи;</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создание, редактирование и сохранение заключения, рекомендаций и статуса обследования;</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печать и экспорт итогового документа не менее чем в формате PDF;</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работа в актуальных версиях браузеров на настольных компьютерах без установки специализированного ПО;</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русский и казахский языки интерфейса.</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Интеграция и маршрутизация данных</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1883"/>
              <w:gridCol w:w="1417"/>
              <w:gridCol w:w="1560"/>
              <w:gridCol w:w="1984"/>
            </w:tblGrid>
            <w:tr w:rsidR="00D940EA" w:rsidRPr="009F7F11" w:rsidTr="004F7578">
              <w:trPr>
                <w:tblHeader/>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Источник</w:t>
                  </w:r>
                </w:p>
              </w:tc>
              <w:tc>
                <w:tcPr>
                  <w:tcW w:w="1417"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Канал</w:t>
                  </w:r>
                </w:p>
              </w:tc>
              <w:tc>
                <w:tcPr>
                  <w:tcW w:w="1560"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Способ внесения</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Данные в карточке</w:t>
                  </w:r>
                </w:p>
              </w:tc>
            </w:tr>
            <w:tr w:rsidR="00D940EA" w:rsidRPr="009F7F11" w:rsidTr="004F7578">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ЭКГ</w:t>
                  </w:r>
                </w:p>
              </w:tc>
              <w:tc>
                <w:tcPr>
                  <w:tcW w:w="1417"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 USB</w:t>
                  </w:r>
                </w:p>
              </w:tc>
              <w:tc>
                <w:tcPr>
                  <w:tcW w:w="1560"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Кривые 12 отведений, измерения, отчёт</w:t>
                  </w:r>
                </w:p>
              </w:tc>
            </w:tr>
            <w:tr w:rsidR="00D940EA" w:rsidRPr="009F7F11" w:rsidTr="004F7578">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Стетофонендоскоп</w:t>
                  </w:r>
                </w:p>
              </w:tc>
              <w:tc>
                <w:tcPr>
                  <w:tcW w:w="1417"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Аудиозапись, фонокардиограмма, метаданные</w:t>
                  </w:r>
                </w:p>
              </w:tc>
            </w:tr>
            <w:tr w:rsidR="00D940EA" w:rsidRPr="009F7F11" w:rsidTr="004F7578">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Пульсоксиметр</w:t>
                  </w:r>
                </w:p>
              </w:tc>
              <w:tc>
                <w:tcPr>
                  <w:tcW w:w="1417"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частота пульса</w:t>
                  </w:r>
                </w:p>
              </w:tc>
            </w:tr>
            <w:tr w:rsidR="00D940EA" w:rsidRPr="009F7F11" w:rsidTr="004F7578">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Ростомер с весами</w:t>
                  </w:r>
                </w:p>
              </w:tc>
              <w:tc>
                <w:tcPr>
                  <w:tcW w:w="1417"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Встроенный дисплей</w:t>
                  </w:r>
                </w:p>
              </w:tc>
              <w:tc>
                <w:tcPr>
                  <w:tcW w:w="1560"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Вручную</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 масса; ИМТ рассчитывается на планшете</w:t>
                  </w:r>
                </w:p>
              </w:tc>
            </w:tr>
            <w:tr w:rsidR="00D940EA" w:rsidRPr="009F7F11" w:rsidTr="004F7578">
              <w:trPr>
                <w:cantSplit/>
                <w:trHeight w:val="136"/>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Отоскоп</w:t>
                  </w:r>
                </w:p>
              </w:tc>
              <w:tc>
                <w:tcPr>
                  <w:tcW w:w="1417"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w:t>
                  </w:r>
                </w:p>
              </w:tc>
              <w:tc>
                <w:tcPr>
                  <w:tcW w:w="1560"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Фотоснимки наружного слухового прохода и барабанной перепонки</w:t>
                  </w:r>
                </w:p>
              </w:tc>
            </w:tr>
          </w:tbl>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Сводные габаритные требования</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2167"/>
              <w:gridCol w:w="4677"/>
            </w:tblGrid>
            <w:tr w:rsidR="00D940EA" w:rsidRPr="009F7F11" w:rsidTr="00BF21D2">
              <w:trPr>
                <w:tblHeader/>
              </w:trPr>
              <w:tc>
                <w:tcPr>
                  <w:tcW w:w="2167"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4677" w:type="dxa"/>
                  <w:shd w:val="clear" w:color="auto" w:fill="FFFFFF"/>
                  <w:tcMar>
                    <w:top w:w="80" w:type="dxa"/>
                    <w:left w:w="120" w:type="dxa"/>
                    <w:bottom w:w="80" w:type="dxa"/>
                    <w:right w:w="120" w:type="dxa"/>
                  </w:tcMar>
                  <w:vAlign w:val="center"/>
                </w:tcPr>
                <w:p w:rsidR="00D940EA" w:rsidRPr="009F7F11" w:rsidRDefault="00D940EA" w:rsidP="00BF21D2">
                  <w:pPr>
                    <w:spacing w:after="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rsidTr="00BF21D2">
              <w:trPr>
                <w:cantSplit/>
              </w:trPr>
              <w:tc>
                <w:tcPr>
                  <w:tcW w:w="2167"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Модуль регистрации ЭКГ</w:t>
                  </w:r>
                </w:p>
              </w:tc>
              <w:tc>
                <w:tcPr>
                  <w:tcW w:w="4677" w:type="dxa"/>
                  <w:shd w:val="clear" w:color="auto" w:fill="FFFFFF"/>
                  <w:tcMar>
                    <w:top w:w="80" w:type="dxa"/>
                    <w:left w:w="120" w:type="dxa"/>
                    <w:bottom w:w="80" w:type="dxa"/>
                    <w:right w:w="120" w:type="dxa"/>
                  </w:tcMar>
                  <w:vAlign w:val="center"/>
                </w:tcPr>
                <w:p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130 × 70 × 25 мм</w:t>
                  </w:r>
                </w:p>
              </w:tc>
            </w:tr>
            <w:tr w:rsidR="00D940EA" w:rsidRPr="009F7F11" w:rsidTr="00BF21D2">
              <w:trPr>
                <w:cantSplit/>
              </w:trPr>
              <w:tc>
                <w:tcPr>
                  <w:tcW w:w="2167"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Цифровой </w:t>
                  </w:r>
                  <w:proofErr w:type="spellStart"/>
                  <w:r w:rsidRPr="009F7F11">
                    <w:rPr>
                      <w:rFonts w:ascii="Times New Roman" w:eastAsia="Times New Roman" w:hAnsi="Times New Roman" w:cs="Times New Roman"/>
                      <w:color w:val="000000"/>
                      <w:sz w:val="20"/>
                      <w:szCs w:val="20"/>
                    </w:rPr>
                    <w:t>стетофонендоскоп</w:t>
                  </w:r>
                  <w:proofErr w:type="spellEnd"/>
                </w:p>
              </w:tc>
              <w:tc>
                <w:tcPr>
                  <w:tcW w:w="4677" w:type="dxa"/>
                  <w:shd w:val="clear" w:color="auto" w:fill="FFFFFF"/>
                  <w:tcMar>
                    <w:top w:w="80" w:type="dxa"/>
                    <w:left w:w="120" w:type="dxa"/>
                    <w:bottom w:w="80" w:type="dxa"/>
                    <w:right w:w="120" w:type="dxa"/>
                  </w:tcMar>
                  <w:vAlign w:val="center"/>
                </w:tcPr>
                <w:p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Ø60 × 80 мм</w:t>
                  </w:r>
                </w:p>
              </w:tc>
            </w:tr>
            <w:tr w:rsidR="00D940EA" w:rsidRPr="009F7F11" w:rsidTr="00BF21D2">
              <w:trPr>
                <w:cantSplit/>
              </w:trPr>
              <w:tc>
                <w:tcPr>
                  <w:tcW w:w="2167"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Пульсоксиметр</w:t>
                  </w:r>
                </w:p>
              </w:tc>
              <w:tc>
                <w:tcPr>
                  <w:tcW w:w="4677" w:type="dxa"/>
                  <w:shd w:val="clear" w:color="auto" w:fill="FFFFFF"/>
                  <w:tcMar>
                    <w:top w:w="80" w:type="dxa"/>
                    <w:left w:w="120" w:type="dxa"/>
                    <w:bottom w:w="80" w:type="dxa"/>
                    <w:right w:w="120" w:type="dxa"/>
                  </w:tcMar>
                  <w:vAlign w:val="center"/>
                </w:tcPr>
                <w:p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65 × 40 × 40 мм</w:t>
                  </w:r>
                </w:p>
              </w:tc>
            </w:tr>
            <w:tr w:rsidR="00D940EA" w:rsidRPr="009F7F11" w:rsidTr="00BF21D2">
              <w:trPr>
                <w:cantSplit/>
              </w:trPr>
              <w:tc>
                <w:tcPr>
                  <w:tcW w:w="2167"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Ростомер с весами</w:t>
                  </w:r>
                </w:p>
              </w:tc>
              <w:tc>
                <w:tcPr>
                  <w:tcW w:w="4677" w:type="dxa"/>
                  <w:shd w:val="clear" w:color="auto" w:fill="FFFFFF"/>
                  <w:tcMar>
                    <w:top w:w="80" w:type="dxa"/>
                    <w:left w:w="120" w:type="dxa"/>
                    <w:bottom w:w="80" w:type="dxa"/>
                    <w:right w:w="120" w:type="dxa"/>
                  </w:tcMar>
                  <w:vAlign w:val="center"/>
                </w:tcPr>
                <w:p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600 × 600 × 2 300 мм в рабочем положении</w:t>
                  </w:r>
                </w:p>
              </w:tc>
            </w:tr>
            <w:tr w:rsidR="00D940EA" w:rsidRPr="009F7F11" w:rsidTr="00BF21D2">
              <w:trPr>
                <w:cantSplit/>
              </w:trPr>
              <w:tc>
                <w:tcPr>
                  <w:tcW w:w="2167"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Отоскоп</w:t>
                  </w:r>
                </w:p>
              </w:tc>
              <w:tc>
                <w:tcPr>
                  <w:tcW w:w="4677" w:type="dxa"/>
                  <w:shd w:val="clear" w:color="auto" w:fill="FFFFFF"/>
                  <w:tcMar>
                    <w:top w:w="80" w:type="dxa"/>
                    <w:left w:w="120" w:type="dxa"/>
                    <w:bottom w:w="80" w:type="dxa"/>
                    <w:right w:w="120" w:type="dxa"/>
                  </w:tcMar>
                  <w:vAlign w:val="center"/>
                </w:tcPr>
                <w:p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Основной блок не более 200 × 40 × 40 мм; рабочая часть Ø не более 4 мм, рабочая длина не менее 20 мм</w:t>
                  </w:r>
                </w:p>
              </w:tc>
            </w:tr>
            <w:tr w:rsidR="00D940EA" w:rsidRPr="009F7F11" w:rsidTr="00BF21D2">
              <w:trPr>
                <w:cantSplit/>
              </w:trPr>
              <w:tc>
                <w:tcPr>
                  <w:tcW w:w="2167"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w:t>
                  </w:r>
                </w:p>
              </w:tc>
              <w:tc>
                <w:tcPr>
                  <w:tcW w:w="4677" w:type="dxa"/>
                  <w:shd w:val="clear" w:color="auto" w:fill="FFFFFF"/>
                  <w:tcMar>
                    <w:top w:w="80" w:type="dxa"/>
                    <w:left w:w="120" w:type="dxa"/>
                    <w:bottom w:w="80" w:type="dxa"/>
                    <w:right w:w="120" w:type="dxa"/>
                  </w:tcMar>
                  <w:vAlign w:val="center"/>
                </w:tcPr>
                <w:p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257 × 169 × 8 мм</w:t>
                  </w:r>
                </w:p>
              </w:tc>
            </w:tr>
            <w:tr w:rsidR="00D940EA" w:rsidRPr="009F7F11" w:rsidTr="00BF21D2">
              <w:trPr>
                <w:cantSplit/>
              </w:trPr>
              <w:tc>
                <w:tcPr>
                  <w:tcW w:w="2167"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Док-станция</w:t>
                  </w:r>
                </w:p>
              </w:tc>
              <w:tc>
                <w:tcPr>
                  <w:tcW w:w="4677" w:type="dxa"/>
                  <w:shd w:val="clear" w:color="auto" w:fill="FFFFFF"/>
                  <w:tcMar>
                    <w:top w:w="80" w:type="dxa"/>
                    <w:left w:w="120" w:type="dxa"/>
                    <w:bottom w:w="80" w:type="dxa"/>
                    <w:right w:w="120" w:type="dxa"/>
                  </w:tcMar>
                  <w:vAlign w:val="center"/>
                </w:tcPr>
                <w:p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300 × 200 × 100 мм без планшета</w:t>
                  </w:r>
                </w:p>
              </w:tc>
            </w:tr>
          </w:tbl>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bl>
    <w:p w:rsidR="00D940EA" w:rsidRPr="009F7F11" w:rsidRDefault="00D940EA" w:rsidP="00663180">
      <w:pPr>
        <w:spacing w:after="0" w:line="240" w:lineRule="auto"/>
        <w:ind w:firstLine="567"/>
        <w:jc w:val="both"/>
        <w:rPr>
          <w:rFonts w:ascii="Times New Roman" w:eastAsia="Times New Roman" w:hAnsi="Times New Roman" w:cs="Times New Roman"/>
          <w:b/>
          <w:bCs/>
          <w:color w:val="000000"/>
          <w:sz w:val="20"/>
          <w:szCs w:val="20"/>
        </w:rPr>
      </w:pPr>
    </w:p>
    <w:p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Комплект предназначен для проведения первичного инструментального обследования, формирования цифровой медицинской записи и дистанционной передачи результатов врачу. Система обеспечивает совместную работу диагностических приборов, планшета с док-станцией и веб-кабинета врача.</w:t>
      </w:r>
    </w:p>
    <w:p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Результаты измерений, изображения и записи используются врачом как диагностическая информация. Окончательная клиническая интерпретация и медицинское заключение выполняются медицинским работником соответствующей квалификации.</w:t>
      </w:r>
    </w:p>
    <w:p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Медицинский работник авторизуется на планшете и выбирает либо создаёт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w:t>
      </w:r>
    </w:p>
    <w:p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Исследования выполняются последовательно. Электрокардиограф передаёт данные на планшет по Bluetooth или по кабелю USB. Стетофонендоскоп и пульсоксиметр передают данные по Bluetooth. Отоскоп подключается к планшету кабелем USB и обеспечивает формирование фотоснимков. Показания роста и массы медицинский работник считывает с дисплея ростомера с весами и вводит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вручную.</w:t>
      </w:r>
    </w:p>
    <w:p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 связывает результаты с пациентом, временем и исполнителем, выполняет проверку заполнения и безопасно передаёт данные на сервер.</w:t>
      </w:r>
    </w:p>
    <w:p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Удалённый врач открывает исследование в веб-кабинете, просматривает данные, при необходимости проводит аудио- или видеоконсультацию и формирует заключение.</w:t>
      </w:r>
    </w:p>
    <w:p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Заключение и результаты сохраняются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при временном отсутствии связи данные ставятся в очередь и синхронизируются после восстановления подключения.</w:t>
      </w:r>
    </w:p>
    <w:sectPr w:rsidR="00245E3B" w:rsidRPr="009F7F11" w:rsidSect="00663180">
      <w:pgSz w:w="12240" w:h="15840"/>
      <w:pgMar w:top="993" w:right="1440" w:bottom="1135" w:left="1440" w:header="708" w:footer="708" w:gutter="0"/>
      <w:pgNumType w:start="1"/>
      <w:cols w:space="720"/>
      <w:titlePg/>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Regular r:id="rId1" w:fontKey="{9B1F0D8C-7C9C-4DCC-96D5-47380B01B378}"/>
    <w:embedBold r:id="rId2" w:fontKey="{D760C017-26E8-40A9-94AB-39EF69740D32}"/>
    <w:embedItalic r:id="rId3" w:fontKey="{8AFEEC72-9F56-4199-B48F-EDCBD27ECCCF}"/>
    <w:embedBoldItalic r:id="rId4" w:fontKey="{26D2686E-3E62-41CC-ADD7-FF033E757AFD}"/>
  </w:font>
  <w:font w:name="Cambria">
    <w:panose1 w:val="02040503050406030204"/>
    <w:charset w:val="CC"/>
    <w:family w:val="roman"/>
    <w:pitch w:val="variable"/>
    <w:sig w:usb0="E00006FF" w:usb1="420024FF" w:usb2="02000000" w:usb3="00000000" w:csb0="0000019F" w:csb1="00000000"/>
    <w:embedRegular r:id="rId5" w:fontKey="{566F70F5-DAD4-448B-88D7-D8C2B368F072}"/>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F13D9C"/>
    <w:multiLevelType w:val="multilevel"/>
    <w:tmpl w:val="9CDADE4C"/>
    <w:lvl w:ilvl="0">
      <w:start w:val="1"/>
      <w:numFmt w:val="bullet"/>
      <w:lvlText w:val=""/>
      <w:lvlJc w:val="left"/>
      <w:pPr>
        <w:ind w:left="720" w:hanging="360"/>
      </w:pPr>
      <w:rPr>
        <w:rFonts w:ascii="Symbol" w:hAnsi="Symbol"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5B3A031B"/>
    <w:multiLevelType w:val="multilevel"/>
    <w:tmpl w:val="94F064EE"/>
    <w:lvl w:ilvl="0">
      <w:start w:val="1"/>
      <w:numFmt w:val="bullet"/>
      <w:lvlText w:val="•"/>
      <w:lvlJc w:val="left"/>
      <w:pPr>
        <w:ind w:left="720" w:hanging="360"/>
      </w:pPr>
      <w:rPr>
        <w:rFonts w:ascii="Calibri" w:eastAsia="Calibri" w:hAnsi="Calibri" w:cs="Calibri"/>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characterSpacingControl w:val="doNotCompress"/>
  <w:compat/>
  <w:rsids>
    <w:rsidRoot w:val="00245E3B"/>
    <w:rsid w:val="00034161"/>
    <w:rsid w:val="00053195"/>
    <w:rsid w:val="00056107"/>
    <w:rsid w:val="000B4D45"/>
    <w:rsid w:val="00245E3B"/>
    <w:rsid w:val="002E151B"/>
    <w:rsid w:val="0043105E"/>
    <w:rsid w:val="004F7578"/>
    <w:rsid w:val="00663180"/>
    <w:rsid w:val="00874C5B"/>
    <w:rsid w:val="009F7F11"/>
    <w:rsid w:val="00AA13F3"/>
    <w:rsid w:val="00C45BB9"/>
    <w:rsid w:val="00D940EA"/>
    <w:rsid w:val="00DA5140"/>
    <w:rsid w:val="00DF0C96"/>
    <w:rsid w:val="00E316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color w:val="1F2937"/>
        <w:sz w:val="22"/>
        <w:szCs w:val="22"/>
        <w:lang w:val="ru-RU" w:eastAsia="ru-RU"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3F3"/>
  </w:style>
  <w:style w:type="paragraph" w:styleId="1">
    <w:name w:val="heading 1"/>
    <w:basedOn w:val="a"/>
    <w:next w:val="a"/>
    <w:uiPriority w:val="9"/>
    <w:qFormat/>
    <w:rsid w:val="00DA5140"/>
    <w:pPr>
      <w:keepNext/>
      <w:keepLines/>
      <w:spacing w:before="320" w:after="160"/>
      <w:outlineLvl w:val="0"/>
    </w:pPr>
    <w:rPr>
      <w:b/>
      <w:bCs/>
      <w:color w:val="2E74B5"/>
      <w:sz w:val="32"/>
      <w:szCs w:val="32"/>
    </w:rPr>
  </w:style>
  <w:style w:type="paragraph" w:styleId="2">
    <w:name w:val="heading 2"/>
    <w:basedOn w:val="a"/>
    <w:next w:val="a"/>
    <w:uiPriority w:val="9"/>
    <w:semiHidden/>
    <w:unhideWhenUsed/>
    <w:qFormat/>
    <w:rsid w:val="00DA5140"/>
    <w:pPr>
      <w:keepNext/>
      <w:keepLines/>
      <w:spacing w:before="240"/>
      <w:outlineLvl w:val="1"/>
    </w:pPr>
    <w:rPr>
      <w:b/>
      <w:bCs/>
      <w:color w:val="2E74B5"/>
      <w:sz w:val="26"/>
      <w:szCs w:val="26"/>
    </w:rPr>
  </w:style>
  <w:style w:type="paragraph" w:styleId="3">
    <w:name w:val="heading 3"/>
    <w:basedOn w:val="a"/>
    <w:next w:val="a"/>
    <w:uiPriority w:val="9"/>
    <w:semiHidden/>
    <w:unhideWhenUsed/>
    <w:qFormat/>
    <w:rsid w:val="00DA5140"/>
    <w:pPr>
      <w:keepNext/>
      <w:keepLines/>
      <w:spacing w:before="160" w:after="80"/>
      <w:outlineLvl w:val="2"/>
    </w:pPr>
    <w:rPr>
      <w:b/>
      <w:bCs/>
      <w:color w:val="1F4D78"/>
      <w:sz w:val="24"/>
      <w:szCs w:val="24"/>
    </w:rPr>
  </w:style>
  <w:style w:type="paragraph" w:styleId="4">
    <w:name w:val="heading 4"/>
    <w:basedOn w:val="a"/>
    <w:next w:val="a"/>
    <w:uiPriority w:val="9"/>
    <w:semiHidden/>
    <w:unhideWhenUsed/>
    <w:qFormat/>
    <w:rsid w:val="00DA5140"/>
    <w:pPr>
      <w:keepNext/>
      <w:keepLines/>
      <w:spacing w:before="200" w:after="0"/>
      <w:outlineLvl w:val="3"/>
    </w:pPr>
    <w:rPr>
      <w:b/>
      <w:bCs/>
      <w:i/>
      <w:iCs/>
      <w:color w:val="4F81BD"/>
    </w:rPr>
  </w:style>
  <w:style w:type="paragraph" w:styleId="5">
    <w:name w:val="heading 5"/>
    <w:basedOn w:val="a"/>
    <w:next w:val="a"/>
    <w:uiPriority w:val="9"/>
    <w:semiHidden/>
    <w:unhideWhenUsed/>
    <w:qFormat/>
    <w:rsid w:val="00DA5140"/>
    <w:pPr>
      <w:keepNext/>
      <w:keepLines/>
      <w:spacing w:before="200" w:after="0"/>
      <w:outlineLvl w:val="4"/>
    </w:pPr>
    <w:rPr>
      <w:color w:val="243F61"/>
    </w:rPr>
  </w:style>
  <w:style w:type="paragraph" w:styleId="6">
    <w:name w:val="heading 6"/>
    <w:basedOn w:val="a"/>
    <w:next w:val="a"/>
    <w:uiPriority w:val="9"/>
    <w:semiHidden/>
    <w:unhideWhenUsed/>
    <w:qFormat/>
    <w:rsid w:val="00DA5140"/>
    <w:pPr>
      <w:keepNext/>
      <w:keepLines/>
      <w:spacing w:before="200" w:after="0"/>
      <w:outlineLvl w:val="5"/>
    </w:pPr>
    <w:rPr>
      <w:i/>
      <w:iCs/>
      <w:color w:val="243F6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rsid w:val="00DA5140"/>
    <w:tblPr>
      <w:tblCellMar>
        <w:top w:w="100" w:type="dxa"/>
        <w:left w:w="100" w:type="dxa"/>
        <w:bottom w:w="100" w:type="dxa"/>
        <w:right w:w="100" w:type="dxa"/>
      </w:tblCellMar>
    </w:tblPr>
  </w:style>
  <w:style w:type="paragraph" w:styleId="a3">
    <w:name w:val="Title"/>
    <w:basedOn w:val="a"/>
    <w:next w:val="a"/>
    <w:uiPriority w:val="10"/>
    <w:qFormat/>
    <w:rsid w:val="00DA5140"/>
    <w:pPr>
      <w:pBdr>
        <w:bottom w:val="single" w:sz="8" w:space="4" w:color="4F81BD"/>
      </w:pBdr>
      <w:spacing w:after="300" w:line="240" w:lineRule="auto"/>
    </w:pPr>
    <w:rPr>
      <w:color w:val="17365D"/>
      <w:sz w:val="52"/>
      <w:szCs w:val="52"/>
    </w:rPr>
  </w:style>
  <w:style w:type="paragraph" w:styleId="a4">
    <w:name w:val="Subtitle"/>
    <w:basedOn w:val="a"/>
    <w:next w:val="a"/>
    <w:uiPriority w:val="11"/>
    <w:qFormat/>
    <w:rsid w:val="00DA5140"/>
    <w:rPr>
      <w:i/>
      <w:iCs/>
      <w:color w:val="4F81BD"/>
      <w:sz w:val="24"/>
      <w:szCs w:val="24"/>
    </w:rPr>
  </w:style>
  <w:style w:type="table" w:customStyle="1" w:styleId="a5">
    <w:basedOn w:val="TableNormal"/>
    <w:rsid w:val="00DA5140"/>
    <w:tblPr>
      <w:tblStyleRowBandSize w:val="1"/>
      <w:tblStyleColBandSize w:val="1"/>
      <w:tblCellMar>
        <w:top w:w="0" w:type="dxa"/>
        <w:left w:w="115" w:type="dxa"/>
        <w:bottom w:w="0" w:type="dxa"/>
        <w:right w:w="115" w:type="dxa"/>
      </w:tblCellMar>
    </w:tblPr>
  </w:style>
  <w:style w:type="table" w:customStyle="1" w:styleId="a6">
    <w:basedOn w:val="TableNormal"/>
    <w:rsid w:val="00DA5140"/>
    <w:tblPr>
      <w:tblStyleRowBandSize w:val="1"/>
      <w:tblStyleColBandSize w:val="1"/>
      <w:tblCellMar>
        <w:top w:w="0" w:type="dxa"/>
        <w:left w:w="115" w:type="dxa"/>
        <w:bottom w:w="0" w:type="dxa"/>
        <w:right w:w="115" w:type="dxa"/>
      </w:tblCellMar>
    </w:tblPr>
  </w:style>
  <w:style w:type="table" w:customStyle="1" w:styleId="a7">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rsid w:val="00DA5140"/>
    <w:tblPr>
      <w:tblStyleRowBandSize w:val="1"/>
      <w:tblStyleColBandSize w:val="1"/>
      <w:tblCellMar>
        <w:top w:w="0" w:type="dxa"/>
        <w:left w:w="115" w:type="dxa"/>
        <w:bottom w:w="0" w:type="dxa"/>
        <w:right w:w="115" w:type="dxa"/>
      </w:tblCellMar>
    </w:tblPr>
  </w:style>
  <w:style w:type="table" w:customStyle="1" w:styleId="af0">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2608</Words>
  <Characters>14872</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3</cp:revision>
  <dcterms:created xsi:type="dcterms:W3CDTF">2026-10-15T11:11:00Z</dcterms:created>
  <dcterms:modified xsi:type="dcterms:W3CDTF">2026-10-21T07:12:00Z</dcterms:modified>
</cp:coreProperties>
</file>