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99B23A">
      <w:pPr>
        <w:ind w:firstLine="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«ХҚЕС-ке көшу жағдайында мемлекеттік органдарда негізгі құралдарды тиімді есепке алу. Активтер мен міндеттемелерді есепке алу. Тауарлы-материалдық қорларды есепке алу және бақылау. Негізгі құралдар мен тауарлық-материалдық қорлар есебіндегі өзекті мәселелер: тексерулер мен тексерулер кезінде анықталған қателер» атты сатып алынатын қызметтердің техникалық ерекшелігі</w:t>
      </w:r>
    </w:p>
    <w:p w14:paraId="0C576577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tbl>
      <w:tblPr>
        <w:tblStyle w:val="3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3"/>
        <w:gridCol w:w="7479"/>
      </w:tblGrid>
      <w:tr w14:paraId="04B3B9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0FDC4C97">
            <w:pPr>
              <w:spacing w:after="0"/>
              <w:jc w:val="center"/>
              <w:rPr>
                <w:rFonts w:ascii="Times New Roman" w:hAnsi="Times New Roman" w:eastAsia="MS Mincho"/>
                <w:b/>
                <w:bCs/>
                <w:lang w:val="kk-KZ" w:eastAsia="ja-JP"/>
              </w:rPr>
            </w:pPr>
            <w:r>
              <w:rPr>
                <w:rFonts w:ascii="Times New Roman" w:hAnsi="Times New Roman" w:eastAsia="MS Mincho"/>
                <w:b/>
                <w:bCs/>
                <w:lang w:val="kk-KZ" w:eastAsia="ja-JP"/>
              </w:rPr>
              <w:t>Қызмет атауы</w:t>
            </w:r>
          </w:p>
        </w:tc>
        <w:tc>
          <w:tcPr>
            <w:tcW w:w="7479" w:type="dxa"/>
          </w:tcPr>
          <w:p w14:paraId="117305D7">
            <w:pPr>
              <w:jc w:val="center"/>
              <w:rPr>
                <w:rFonts w:ascii="Times New Roman" w:hAnsi="Times New Roman" w:eastAsia="MS Mincho"/>
                <w:lang w:val="kk-KZ" w:eastAsia="ja-JP"/>
              </w:rPr>
            </w:pPr>
            <w:r>
              <w:rPr>
                <w:rFonts w:ascii="Times New Roman" w:hAnsi="Times New Roman" w:eastAsia="MS Mincho"/>
                <w:lang w:val="kk-KZ" w:eastAsia="ja-JP"/>
              </w:rPr>
              <w:t>«ХҚЕС-ке көшу жағдайында мемлекеттік органдарда негізгі құралдарды тиімді есепке алу. Активтер мен міндеттемелерді есепке алу. Тауарлы-материалдық қорларды есепке алу және бақылау. Негізгі құралдар мен тауарлық-материалдық қорлар есебіндегі өзекті мәселелер: тексерулер мен аудит кезінде анықталған қателер»</w:t>
            </w:r>
          </w:p>
        </w:tc>
      </w:tr>
      <w:tr w14:paraId="394E2A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7DDDB73B">
            <w:pPr>
              <w:spacing w:after="0"/>
              <w:jc w:val="center"/>
              <w:rPr>
                <w:rFonts w:ascii="Times New Roman" w:hAnsi="Times New Roman" w:eastAsia="MS Mincho"/>
                <w:b/>
                <w:bCs/>
                <w:lang w:val="kk-KZ" w:eastAsia="ja-JP"/>
              </w:rPr>
            </w:pPr>
            <w:r>
              <w:rPr>
                <w:rFonts w:ascii="Times New Roman" w:hAnsi="Times New Roman" w:eastAsia="MS Mincho"/>
                <w:b/>
                <w:bCs/>
                <w:lang w:val="kk-KZ" w:eastAsia="ja-JP"/>
              </w:rPr>
              <w:t>Қызмет көрсетудің орны мен тәсілі</w:t>
            </w:r>
          </w:p>
        </w:tc>
        <w:tc>
          <w:tcPr>
            <w:tcW w:w="7479" w:type="dxa"/>
          </w:tcPr>
          <w:p w14:paraId="3DCB3F74">
            <w:pPr>
              <w:spacing w:after="0"/>
              <w:jc w:val="center"/>
              <w:rPr>
                <w:rFonts w:ascii="Times New Roman" w:hAnsi="Times New Roman" w:eastAsia="MS Mincho"/>
                <w:lang w:val="kk-KZ" w:eastAsia="ja-JP"/>
              </w:rPr>
            </w:pPr>
            <w:r>
              <w:rPr>
                <w:rFonts w:ascii="Times New Roman" w:hAnsi="Times New Roman" w:eastAsia="MS Mincho"/>
                <w:lang w:val="kk-KZ" w:eastAsia="ja-JP"/>
              </w:rPr>
              <w:t>Онлайн форматта</w:t>
            </w:r>
          </w:p>
        </w:tc>
      </w:tr>
      <w:tr w14:paraId="7E5CE5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06B0C1B8">
            <w:pPr>
              <w:spacing w:after="0"/>
              <w:jc w:val="center"/>
              <w:rPr>
                <w:rFonts w:ascii="Times New Roman" w:hAnsi="Times New Roman" w:eastAsia="MS Mincho"/>
                <w:b/>
                <w:bCs/>
                <w:lang w:val="kk-KZ" w:eastAsia="ja-JP"/>
              </w:rPr>
            </w:pPr>
            <w:r>
              <w:rPr>
                <w:rFonts w:ascii="Times New Roman" w:hAnsi="Times New Roman" w:eastAsia="MS Mincho"/>
                <w:b/>
                <w:bCs/>
                <w:lang w:val="kk-KZ" w:eastAsia="ja-JP"/>
              </w:rPr>
              <w:t xml:space="preserve">Қажетті сипаттамалардың, параметрлердің және басқа да бастапқы </w:t>
            </w:r>
          </w:p>
        </w:tc>
        <w:tc>
          <w:tcPr>
            <w:tcW w:w="7479" w:type="dxa"/>
          </w:tcPr>
          <w:p w14:paraId="460466C4">
            <w:pPr>
              <w:rPr>
                <w:rFonts w:ascii="Times New Roman" w:hAnsi="Times New Roman" w:eastAsia="MS Mincho"/>
                <w:lang w:val="kk-KZ" w:eastAsia="ja-JP"/>
              </w:rPr>
            </w:pPr>
            <w:r>
              <w:rPr>
                <w:rFonts w:ascii="Times New Roman" w:hAnsi="Times New Roman" w:eastAsia="MS Mincho"/>
                <w:lang w:val="kk-KZ" w:eastAsia="ja-JP"/>
              </w:rPr>
              <w:t>ХҚЕС-ке көшуді ескере отырып, мемлекеттік органдарда негізгі құралдарды тиімді басқару бойынша Тапсырыс беруші қызметкерлерінің біліктілігін арттыру курстарында оқыту қызметі мыналарды қамтуы тиіс:</w:t>
            </w:r>
          </w:p>
          <w:p w14:paraId="665730C8">
            <w:pPr>
              <w:spacing w:after="0"/>
              <w:rPr>
                <w:rFonts w:ascii="Times New Roman" w:hAnsi="Times New Roman" w:eastAsia="MS Mincho"/>
                <w:b/>
                <w:bCs/>
                <w:sz w:val="20"/>
                <w:szCs w:val="20"/>
                <w:lang w:val="kk-KZ" w:eastAsia="ja-JP"/>
              </w:rPr>
            </w:pPr>
            <w:r>
              <w:rPr>
                <w:rFonts w:ascii="Times New Roman" w:hAnsi="Times New Roman" w:eastAsia="MS Mincho"/>
                <w:b/>
                <w:bCs/>
                <w:sz w:val="20"/>
                <w:szCs w:val="20"/>
                <w:lang w:val="kk-KZ" w:eastAsia="ja-JP"/>
              </w:rPr>
              <w:t>Бухгалтерлік есепті тиімді басқару</w:t>
            </w:r>
          </w:p>
          <w:p w14:paraId="39F7559A">
            <w:pPr>
              <w:spacing w:after="0"/>
              <w:rPr>
                <w:rFonts w:ascii="Times New Roman" w:hAnsi="Times New Roman" w:eastAsia="MS Mincho"/>
                <w:sz w:val="20"/>
                <w:szCs w:val="20"/>
                <w:lang w:val="kk-KZ" w:eastAsia="ja-JP"/>
              </w:rPr>
            </w:pPr>
            <w:r>
              <w:rPr>
                <w:rFonts w:ascii="Times New Roman" w:hAnsi="Times New Roman" w:eastAsia="MS Mincho"/>
                <w:sz w:val="20"/>
                <w:szCs w:val="20"/>
                <w:lang w:val="kk-KZ" w:eastAsia="ja-JP"/>
              </w:rPr>
              <w:t>Негізгі құралдарды бастапқы бағалау (алғашқы тану)</w:t>
            </w:r>
          </w:p>
          <w:p w14:paraId="609BD2D4">
            <w:pPr>
              <w:spacing w:after="0"/>
              <w:rPr>
                <w:rFonts w:ascii="Times New Roman" w:hAnsi="Times New Roman" w:eastAsia="MS Mincho"/>
                <w:sz w:val="20"/>
                <w:szCs w:val="20"/>
                <w:lang w:val="kk-KZ" w:eastAsia="ja-JP"/>
              </w:rPr>
            </w:pPr>
            <w:r>
              <w:rPr>
                <w:rFonts w:ascii="Times New Roman" w:hAnsi="Times New Roman" w:eastAsia="MS Mincho"/>
                <w:sz w:val="20"/>
                <w:szCs w:val="20"/>
                <w:lang w:val="kk-KZ" w:eastAsia="ja-JP"/>
              </w:rPr>
              <w:t>Негізгі қорлардың өзіндік құнына кіретін шығындар</w:t>
            </w:r>
          </w:p>
          <w:p w14:paraId="54F3FFB5">
            <w:pPr>
              <w:spacing w:after="0"/>
              <w:rPr>
                <w:rFonts w:ascii="Times New Roman" w:hAnsi="Times New Roman" w:eastAsia="MS Mincho"/>
                <w:sz w:val="20"/>
                <w:szCs w:val="20"/>
                <w:lang w:val="kk-KZ" w:eastAsia="ja-JP"/>
              </w:rPr>
            </w:pPr>
            <w:r>
              <w:rPr>
                <w:rFonts w:ascii="Times New Roman" w:hAnsi="Times New Roman" w:eastAsia="MS Mincho"/>
                <w:sz w:val="20"/>
                <w:szCs w:val="20"/>
                <w:lang w:val="kk-KZ" w:eastAsia="ja-JP"/>
              </w:rPr>
              <w:t>Негізгі құралдарды сатып алу операцияларының есебі (корреспонденттік шоттар)</w:t>
            </w:r>
          </w:p>
          <w:p w14:paraId="2B486DB9">
            <w:pPr>
              <w:spacing w:after="0"/>
              <w:rPr>
                <w:rFonts w:ascii="Times New Roman" w:hAnsi="Times New Roman" w:eastAsia="MS Mincho"/>
                <w:sz w:val="20"/>
                <w:szCs w:val="20"/>
                <w:lang w:val="kk-KZ" w:eastAsia="ja-JP"/>
              </w:rPr>
            </w:pPr>
            <w:r>
              <w:rPr>
                <w:rFonts w:ascii="Times New Roman" w:hAnsi="Times New Roman" w:eastAsia="MS Mincho"/>
                <w:sz w:val="20"/>
                <w:szCs w:val="20"/>
                <w:lang w:val="kk-KZ" w:eastAsia="ja-JP"/>
              </w:rPr>
              <w:t>Объектіні құру (құрылысы) кезіндегі негізгі құралдардың бастапқы құнын анықтау тәртібі</w:t>
            </w:r>
          </w:p>
          <w:p w14:paraId="21B149D9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Негізгі құралдарды кейінгі бағалау (негізгі құралдарды мойындаудан кейінгі бағалау)</w:t>
            </w:r>
          </w:p>
          <w:p w14:paraId="296ACC98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Негізгі құралдардың құнсыздануы</w:t>
            </w:r>
          </w:p>
          <w:p w14:paraId="0137B6FE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Өтелетін соманы анықтау</w:t>
            </w:r>
          </w:p>
          <w:p w14:paraId="5173E499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Негізгі құралдардың амортизациясы</w:t>
            </w:r>
          </w:p>
          <w:p w14:paraId="66158F82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Негізгі құралдардың пайдалы қызмет мерзімін және амортизациясын есептеу әдістерін қарастыру</w:t>
            </w:r>
          </w:p>
          <w:p w14:paraId="642F4FEE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fldChar w:fldCharType="begin"/>
            </w:r>
            <w:r>
              <w:instrText xml:space="preserve"> HYPERLINK "http://online.zakon.kz/Document/?doc_id=39539342" \l "sub_id=3"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НЕГІЗГІ</w:t>
            </w: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fldChar w:fldCharType="end"/>
            </w: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 xml:space="preserve"> ҚҰРАЛДАРДЫ ШЫҒАРУ</w:t>
            </w:r>
          </w:p>
          <w:p w14:paraId="061A5846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Негізгі құралдарды шығару бойынша әртүрлі операциялар үшін қолданылатын бухгалтерлік корреспонденциялар</w:t>
            </w:r>
          </w:p>
          <w:p w14:paraId="3BB91DBE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 xml:space="preserve">Жерді есепке алу мәселелері </w:t>
            </w:r>
          </w:p>
          <w:p w14:paraId="47B6D139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НЕГІЗГІ ҚҰРАЛДАРДЫ ЖӨНДЕУ</w:t>
            </w:r>
          </w:p>
          <w:p w14:paraId="4B855152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Негізгі құралдардың кейінгі шығындарының есебі</w:t>
            </w:r>
          </w:p>
          <w:p w14:paraId="548D99EB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Кейінгі күрделі салымдардың есебі</w:t>
            </w:r>
          </w:p>
          <w:p w14:paraId="5756B21F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Күрделі жөндеуге жатқызылған жұмыс түрлерінің мысалдары</w:t>
            </w:r>
          </w:p>
          <w:p w14:paraId="33FC42BA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Кешенді тексеруге немесе күрделі жөндеуге кеткен шығындар</w:t>
            </w:r>
          </w:p>
          <w:p w14:paraId="6F98AFE3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Кейінгі күрделі емес шығындардың есебі</w:t>
            </w:r>
          </w:p>
          <w:p w14:paraId="4FA07AE5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Ағымдағы жөндеу ретінде жіктелген жұмыс түрлерінің мысалдары</w:t>
            </w:r>
          </w:p>
          <w:p w14:paraId="5A977E87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Техникалық қызмет көрсету ретінде жіктелген жұмыс түрлерінің мысалдары</w:t>
            </w:r>
          </w:p>
          <w:p w14:paraId="00DDEAFF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Жалға алынған негізгі құралдардың жөндеу жұмыстарының есебі</w:t>
            </w:r>
          </w:p>
          <w:p w14:paraId="5C8CE5F8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fldChar w:fldCharType="begin"/>
            </w:r>
            <w:r>
              <w:instrText xml:space="preserve"> HYPERLINK "http://online.zakon.kz/Document/?doc_id=39539342" \l "sub_id=409"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НЕГІЗГІ</w:t>
            </w: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fldChar w:fldCharType="end"/>
            </w: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 xml:space="preserve"> ҚОРЛАРДЫ ЕСЕПКЕ АЛУ</w:t>
            </w:r>
          </w:p>
          <w:p w14:paraId="245F30D1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Есепке алу қағидаларына өзгерістер енгізу туралы Қазақстан Республикасы Қаржы министрінің 2024 жылғы 24 желтоқсандағы No 863 бұйрығы.</w:t>
            </w:r>
          </w:p>
          <w:p w14:paraId="72E07912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ҚАРЖЫ ЕСЕПТІЛІГІНДЕГІ АҚПАРАТТЫ АШУ</w:t>
            </w:r>
          </w:p>
          <w:p w14:paraId="28919BC1">
            <w:pPr>
              <w:spacing w:after="0" w:line="240" w:lineRule="auto"/>
              <w:ind w:firstLine="400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</w:p>
          <w:p w14:paraId="75110A76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Материалдық қорларды есепке алу және бақылау, тексерулер мен аудит кезінде анықталған қателер.</w:t>
            </w:r>
          </w:p>
          <w:p w14:paraId="29CB386B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Тауарлық-материалдық қорларды алу</w:t>
            </w:r>
          </w:p>
          <w:p w14:paraId="74403BE8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Мысалдар</w:t>
            </w:r>
          </w:p>
          <w:p w14:paraId="5F4727B8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  <w:t>Тауарлы-материалдық қорларды сатып алу шығындарын бөлу</w:t>
            </w:r>
          </w:p>
          <w:p w14:paraId="47CBA22C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Тауарлы-материалдық қорларды алу (шот корреспонденциясы)</w:t>
            </w:r>
          </w:p>
          <w:p w14:paraId="6A195423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Тауарлы-материалдық қорларды есепке алу жүйелері (мысалдар)</w:t>
            </w:r>
          </w:p>
          <w:p w14:paraId="68BDC0F8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Тауарлы-материалдық қорларды бағалау әдістері</w:t>
            </w:r>
          </w:p>
          <w:p w14:paraId="52A0C668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Орташа өлшенген құн әдісі</w:t>
            </w:r>
          </w:p>
          <w:p w14:paraId="7CE8553A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FIFO әдісі</w:t>
            </w:r>
          </w:p>
          <w:p w14:paraId="781A7CEA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Тауарлы-материалдық қорлардың жойылуының есебі</w:t>
            </w:r>
          </w:p>
          <w:p w14:paraId="2B371E1C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Тауарлық-материалдық қорларды сату</w:t>
            </w:r>
          </w:p>
          <w:p w14:paraId="7C8AF0CF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Консигнация бойынша тауарлық-материалдық қорларды сату</w:t>
            </w:r>
          </w:p>
          <w:p w14:paraId="794530D4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Тауарлы-материалдық қорларды сату (жолдағы қорлар)</w:t>
            </w:r>
          </w:p>
          <w:p w14:paraId="6E6F2A20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Тауарлы-материалдық қорларды өндіріске есептен шығару</w:t>
            </w:r>
          </w:p>
          <w:p w14:paraId="39B00A3B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Басқа шаруашылық жүргізуші субъектілердің жарғылық капиталына ТМҚ аудару</w:t>
            </w:r>
          </w:p>
          <w:p w14:paraId="318555F9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Тауарлық-материалдық қорларды жетіспеушілік жағдайында жою</w:t>
            </w:r>
          </w:p>
          <w:p w14:paraId="633FF172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Басқа қорларды жою</w:t>
            </w:r>
          </w:p>
          <w:p w14:paraId="271E80E7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Тауарлы-материалдық қорларды есепке алу және құжаттау</w:t>
            </w:r>
          </w:p>
          <w:p w14:paraId="5843D344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Қоймадағы тауарлық-материалдық қорлар қозғалысының негізгі құжаттары</w:t>
            </w:r>
          </w:p>
          <w:p w14:paraId="3D0CBE21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Қоймалардағы тауарлы-материалдық қорларды есепке алу</w:t>
            </w:r>
          </w:p>
          <w:p w14:paraId="2CE6DD71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Бухгалтерлік есептегі тауарлы-материалдық қорлардың есебі</w:t>
            </w:r>
          </w:p>
          <w:p w14:paraId="2FCA0FA5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Жеке тауарлық-материалдық қорлар топтарын есепке алу ерекшеліктері</w:t>
            </w:r>
          </w:p>
          <w:p w14:paraId="75C6ED60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Жанар-жағармайларды есепке алу (F&amp;L)</w:t>
            </w:r>
          </w:p>
          <w:p w14:paraId="6B8D842B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F&amp;L есебіне қойылатын жалпы талаптар</w:t>
            </w:r>
          </w:p>
          <w:p w14:paraId="2F144F0C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Сұйық жанар-жағармайларды есепке алудың көлемдік-гравитациялық әдісін қолдану тәртібі</w:t>
            </w:r>
          </w:p>
          <w:p w14:paraId="392948B7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Қоймадағы жанар-жағармайдың түсуін есепке алу (сақтау орны)</w:t>
            </w:r>
          </w:p>
          <w:p w14:paraId="7FD767A6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Мұнай өнімдерін автомобиль көлігімен тиеу кезінде қоймадан (сақтау орнынан) шығару ережесі</w:t>
            </w:r>
          </w:p>
          <w:p w14:paraId="05B03CFA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Басқа өндірістік қажеттіліктер үшін мұнай өнімдерін шығару</w:t>
            </w:r>
          </w:p>
          <w:p w14:paraId="551FE510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Жүргізуші шоттарындағы мұнай өнімдерін қоймадан (сақтау орнынан) шығару ережелері</w:t>
            </w:r>
          </w:p>
          <w:p w14:paraId="43A37107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Жүргізуші шоттарынан мұнай өнімдерін есептен шығару</w:t>
            </w:r>
          </w:p>
          <w:p w14:paraId="7033E7B1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Қосалқы бөлшектерді есепке алу</w:t>
            </w:r>
          </w:p>
          <w:p w14:paraId="124C5C74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Дайын өнімдер мен тауарларды есепке алу</w:t>
            </w:r>
          </w:p>
          <w:p w14:paraId="16837807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Дайын өнімді шығару</w:t>
            </w:r>
          </w:p>
          <w:p w14:paraId="4CA06CA0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Жөнелтілген дайын өнімді және жөнелтілген тауарларды есепке алу</w:t>
            </w:r>
          </w:p>
          <w:p w14:paraId="417405ED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Компанияның тауарлық-материалдық қорын кейінгі бағалау. Өтімді активтерге арналған резерв</w:t>
            </w:r>
          </w:p>
          <w:p w14:paraId="1B1419BC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Тауарлық-материалдық қорлардың құнсыздануы</w:t>
            </w:r>
          </w:p>
          <w:p w14:paraId="6D2C0375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Баланс күні таза өткізу құнын анықтау тәртібі</w:t>
            </w:r>
          </w:p>
          <w:p w14:paraId="4C8D8841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Белгілі бір босалқылар үшін таза өткізу құнын анықтау мысалдары</w:t>
            </w:r>
          </w:p>
          <w:p w14:paraId="6CB0FD0D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Баланс күнінен кейінгі оқиғалардың таза сату құнына дейін есептен шығару сомасына әсері</w:t>
            </w:r>
          </w:p>
          <w:p w14:paraId="5CE8DAF3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Кейінгі кезеңдердегі бағалау</w:t>
            </w:r>
          </w:p>
          <w:p w14:paraId="6C248699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Баланс күні баяу жүретін қорлар үшін резерв</w:t>
            </w:r>
          </w:p>
          <w:p w14:paraId="504C921E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Баланс күнінен кейінгі оқиғалардың резерв сомасына әсері</w:t>
            </w:r>
          </w:p>
          <w:p w14:paraId="248E7087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Тауарлы-материалдық қорларды санау</w:t>
            </w:r>
          </w:p>
          <w:p w14:paraId="077FA68A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sz w:val="20"/>
                <w:szCs w:val="20"/>
              </w:rPr>
              <w:t>Қаржылық есеп берудегі ақпаратты ашу</w:t>
            </w:r>
          </w:p>
          <w:p w14:paraId="1238A226">
            <w:pPr>
              <w:spacing w:after="0"/>
              <w:rPr>
                <w:rFonts w:ascii="Times New Roman" w:hAnsi="Times New Roman" w:eastAsia="MS Mincho"/>
                <w:lang w:eastAsia="ja-JP"/>
              </w:rPr>
            </w:pPr>
          </w:p>
          <w:p w14:paraId="6A1E404D">
            <w:pPr>
              <w:spacing w:after="0"/>
              <w:rPr>
                <w:rFonts w:ascii="Times New Roman" w:hAnsi="Times New Roman" w:eastAsia="MS Mincho"/>
                <w:lang w:val="kk-KZ" w:eastAsia="ja-JP"/>
              </w:rPr>
            </w:pPr>
            <w:r>
              <w:rPr>
                <w:rFonts w:ascii="Times New Roman" w:hAnsi="Times New Roman" w:eastAsia="MS Mincho"/>
                <w:lang w:val="kk-KZ" w:eastAsia="ja-JP"/>
              </w:rPr>
              <w:t>Оқу күні ауыстырылған жағдайда Орындаушы Тапсырыс берушіге бұрын белгіленген оқу күніне дейін 5 (бес) жұмыс күнінен кешіктірмей ескертуге тиіс. Техникалық ақаулар болған жағдайда, Орындаушы ақауларды дереу жоюы керек.</w:t>
            </w:r>
          </w:p>
          <w:p w14:paraId="2595B87E">
            <w:pPr>
              <w:spacing w:after="0"/>
              <w:jc w:val="both"/>
              <w:rPr>
                <w:rFonts w:ascii="Times New Roman" w:hAnsi="Times New Roman" w:eastAsia="MS Mincho"/>
                <w:lang w:val="kk-KZ" w:eastAsia="ja-JP"/>
              </w:rPr>
            </w:pPr>
            <w:r>
              <w:rPr>
                <w:rFonts w:ascii="Times New Roman" w:hAnsi="Times New Roman" w:eastAsia="MS Mincho"/>
                <w:lang w:val="kk-KZ" w:eastAsia="ja-JP"/>
              </w:rPr>
              <w:t>Тапсырыс беруші өз қызметкерлерінің арасынан көрсетілетін қызметтердің техникалық ерекшелікте көрсетілген талаптарға сәйкестігін тексеру үшін жауапты адамды тағайындауға құқылы.</w:t>
            </w:r>
          </w:p>
          <w:p w14:paraId="7BD39089">
            <w:pPr>
              <w:spacing w:after="0"/>
              <w:jc w:val="both"/>
              <w:rPr>
                <w:rFonts w:ascii="Times New Roman" w:hAnsi="Times New Roman" w:eastAsia="MS Mincho"/>
                <w:lang w:val="kk-KZ" w:eastAsia="ja-JP"/>
              </w:rPr>
            </w:pPr>
            <w:r>
              <w:rPr>
                <w:rFonts w:ascii="Times New Roman" w:hAnsi="Times New Roman" w:eastAsia="MS Mincho"/>
                <w:lang w:val="kk-KZ" w:eastAsia="ja-JP"/>
              </w:rPr>
              <w:t>Оқу аяқталғаннан кейін Орындаушы Тапсырыс берушінің қызметкерлеріне атаулы сертификаттар береді</w:t>
            </w:r>
          </w:p>
        </w:tc>
      </w:tr>
      <w:tr w14:paraId="311AC8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4CCA66B3">
            <w:pPr>
              <w:spacing w:after="0"/>
              <w:jc w:val="center"/>
              <w:rPr>
                <w:rFonts w:ascii="Times New Roman" w:hAnsi="Times New Roman" w:eastAsia="MS Mincho"/>
                <w:b/>
                <w:bCs/>
                <w:lang w:val="kk-KZ" w:eastAsia="ja-JP"/>
              </w:rPr>
            </w:pPr>
            <w:r>
              <w:rPr>
                <w:rFonts w:ascii="Times New Roman" w:hAnsi="Times New Roman" w:eastAsia="MS Mincho"/>
                <w:b/>
                <w:bCs/>
                <w:lang w:val="kk-KZ" w:eastAsia="ja-JP"/>
              </w:rPr>
              <w:t>Білім алушылардың саны</w:t>
            </w:r>
          </w:p>
        </w:tc>
        <w:tc>
          <w:tcPr>
            <w:tcW w:w="7479" w:type="dxa"/>
          </w:tcPr>
          <w:p w14:paraId="0BD2CD4D">
            <w:pPr>
              <w:spacing w:after="0"/>
              <w:rPr>
                <w:rFonts w:ascii="Times New Roman" w:hAnsi="Times New Roman" w:eastAsia="MS Mincho"/>
                <w:lang w:val="kk-KZ" w:eastAsia="ja-JP"/>
              </w:rPr>
            </w:pPr>
            <w:r>
              <w:rPr>
                <w:rFonts w:ascii="Times New Roman" w:hAnsi="Times New Roman" w:eastAsia="MS Mincho"/>
                <w:lang w:val="kk-KZ" w:eastAsia="ja-JP"/>
              </w:rPr>
              <w:t>_____қызметкер</w:t>
            </w:r>
          </w:p>
        </w:tc>
      </w:tr>
      <w:tr w14:paraId="09DD24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6B8AEC48">
            <w:pPr>
              <w:spacing w:after="0"/>
              <w:jc w:val="center"/>
              <w:rPr>
                <w:rFonts w:ascii="Times New Roman" w:hAnsi="Times New Roman" w:eastAsia="MS Mincho"/>
                <w:b/>
                <w:bCs/>
                <w:lang w:val="kk-KZ" w:eastAsia="ja-JP"/>
              </w:rPr>
            </w:pPr>
            <w:r>
              <w:rPr>
                <w:rFonts w:ascii="Times New Roman" w:hAnsi="Times New Roman" w:eastAsia="MS Mincho"/>
                <w:b/>
                <w:bCs/>
                <w:lang w:val="kk-KZ" w:eastAsia="ja-JP"/>
              </w:rPr>
              <w:t>Төлем шарттары</w:t>
            </w:r>
          </w:p>
        </w:tc>
        <w:tc>
          <w:tcPr>
            <w:tcW w:w="7479" w:type="dxa"/>
          </w:tcPr>
          <w:p w14:paraId="4B9763D1">
            <w:pPr>
              <w:spacing w:after="0"/>
              <w:rPr>
                <w:rFonts w:ascii="Times New Roman" w:hAnsi="Times New Roman" w:eastAsia="MS Mincho"/>
                <w:lang w:val="kk-KZ" w:eastAsia="ja-JP"/>
              </w:rPr>
            </w:pPr>
            <w:r>
              <w:rPr>
                <w:rFonts w:ascii="Times New Roman" w:hAnsi="Times New Roman" w:eastAsia="MS Mincho"/>
                <w:lang w:val="kk-KZ" w:eastAsia="ja-JP"/>
              </w:rPr>
              <w:t>Төлем көрсетілген қызметтер актісіне қол қойылған күннен бастап 3 күнтізбелік күн ішінде көрсетілген қызметтер аяқталғаннан кейін жүзеге асырылады.</w:t>
            </w:r>
          </w:p>
        </w:tc>
      </w:tr>
      <w:tr w14:paraId="6DB06C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03D64784">
            <w:pPr>
              <w:spacing w:after="0"/>
              <w:jc w:val="center"/>
              <w:rPr>
                <w:rFonts w:ascii="Times New Roman" w:hAnsi="Times New Roman" w:eastAsia="MS Mincho"/>
                <w:b/>
                <w:bCs/>
                <w:lang w:val="kk-KZ" w:eastAsia="ja-JP"/>
              </w:rPr>
            </w:pPr>
            <w:r>
              <w:rPr>
                <w:rFonts w:ascii="Times New Roman" w:hAnsi="Times New Roman" w:eastAsia="MS Mincho"/>
                <w:b/>
                <w:bCs/>
                <w:lang w:val="kk-KZ" w:eastAsia="ja-JP"/>
              </w:rPr>
              <w:t>Орындаушыға қойылатын қосымша талаптар</w:t>
            </w:r>
          </w:p>
        </w:tc>
        <w:tc>
          <w:tcPr>
            <w:tcW w:w="7479" w:type="dxa"/>
          </w:tcPr>
          <w:p w14:paraId="4E824DEC">
            <w:pPr>
              <w:spacing w:after="0"/>
              <w:rPr>
                <w:rFonts w:ascii="Times New Roman" w:hAnsi="Times New Roman" w:eastAsia="MS Mincho"/>
                <w:lang w:val="kk-KZ" w:eastAsia="ja-JP"/>
              </w:rPr>
            </w:pPr>
            <w:r>
              <w:rPr>
                <w:rFonts w:ascii="Times New Roman" w:hAnsi="Times New Roman" w:eastAsia="MS Mincho"/>
                <w:lang w:val="kk-KZ" w:eastAsia="ja-JP"/>
              </w:rPr>
              <w:t>Орындаушы сатып алуға қатысқан кезде мыналарды ұсынуы тиіс</w:t>
            </w:r>
          </w:p>
          <w:p w14:paraId="77F42EB2">
            <w:pPr>
              <w:spacing w:after="0"/>
              <w:rPr>
                <w:rFonts w:ascii="Times New Roman" w:hAnsi="Times New Roman" w:eastAsia="MS Mincho"/>
                <w:lang w:val="kk-KZ" w:eastAsia="ja-JP"/>
              </w:rPr>
            </w:pPr>
            <w:r>
              <w:rPr>
                <w:rFonts w:ascii="Times New Roman" w:hAnsi="Times New Roman" w:eastAsia="MS Mincho"/>
                <w:lang w:val="kk-KZ" w:eastAsia="ja-JP"/>
              </w:rPr>
              <w:t>ҚР Қаржы Министрлігі жанындағы Ішкі мемлекеттік аудит комитеті берген аккредиттеу туралы куәлік.</w:t>
            </w:r>
          </w:p>
        </w:tc>
      </w:tr>
    </w:tbl>
    <w:p w14:paraId="13367B41">
      <w:pPr>
        <w:spacing w:after="0"/>
        <w:ind w:firstLine="567"/>
        <w:jc w:val="center"/>
        <w:rPr>
          <w:rFonts w:ascii="Times New Roman" w:hAnsi="Times New Roman" w:eastAsia="MS Mincho"/>
          <w:b/>
          <w:bCs/>
          <w:lang w:val="kk-KZ" w:eastAsia="ja-JP"/>
        </w:rPr>
      </w:pPr>
    </w:p>
    <w:p w14:paraId="5A1FE933">
      <w:pPr>
        <w:spacing w:after="0"/>
        <w:ind w:firstLine="567"/>
        <w:jc w:val="center"/>
        <w:rPr>
          <w:rFonts w:ascii="Times New Roman" w:hAnsi="Times New Roman" w:eastAsia="MS Mincho"/>
          <w:b/>
          <w:bCs/>
          <w:lang w:val="kk-KZ" w:eastAsia="ja-JP"/>
        </w:rPr>
      </w:pPr>
    </w:p>
    <w:p w14:paraId="26F74BF1">
      <w:pPr>
        <w:spacing w:after="0"/>
        <w:ind w:firstLine="567"/>
        <w:jc w:val="center"/>
        <w:rPr>
          <w:rFonts w:ascii="Times New Roman" w:hAnsi="Times New Roman" w:eastAsia="MS Mincho"/>
          <w:b/>
          <w:bCs/>
          <w:lang w:val="kk-KZ" w:eastAsia="ja-JP"/>
        </w:rPr>
      </w:pPr>
    </w:p>
    <w:p w14:paraId="426FC9A5">
      <w:pPr>
        <w:spacing w:after="0"/>
        <w:ind w:firstLine="567"/>
        <w:jc w:val="center"/>
        <w:rPr>
          <w:rFonts w:ascii="Times New Roman" w:hAnsi="Times New Roman" w:eastAsia="MS Mincho"/>
          <w:b/>
          <w:bCs/>
          <w:lang w:val="kk-KZ" w:eastAsia="ja-JP"/>
        </w:rPr>
      </w:pPr>
      <w:r>
        <w:rPr>
          <w:rFonts w:ascii="Times New Roman" w:hAnsi="Times New Roman" w:eastAsia="MS Mincho"/>
          <w:b/>
          <w:bCs/>
          <w:lang w:val="kk-KZ" w:eastAsia="ja-JP"/>
        </w:rPr>
        <w:t>Техническая спецификация закупаемых услуг на</w:t>
      </w:r>
    </w:p>
    <w:p w14:paraId="5597A1C5">
      <w:pPr>
        <w:spacing w:after="0"/>
        <w:ind w:firstLine="567"/>
        <w:jc w:val="center"/>
        <w:rPr>
          <w:rFonts w:ascii="Times New Roman" w:hAnsi="Times New Roman" w:eastAsia="MS Mincho"/>
          <w:b/>
          <w:bCs/>
          <w:lang w:val="kk-KZ" w:eastAsia="ja-JP"/>
        </w:rPr>
      </w:pPr>
      <w:r>
        <w:rPr>
          <w:rFonts w:ascii="Times New Roman" w:hAnsi="Times New Roman" w:eastAsia="MS Mincho"/>
          <w:b/>
          <w:bCs/>
          <w:lang w:val="kk-KZ" w:eastAsia="ja-JP"/>
        </w:rPr>
        <w:t>обучение в курсах повышения квалификации по теме: «</w:t>
      </w:r>
      <w:r>
        <w:rPr>
          <w:rFonts w:ascii="Times New Roman" w:hAnsi="Times New Roman"/>
          <w:sz w:val="24"/>
          <w:szCs w:val="24"/>
        </w:rPr>
        <w:t>Эффективное ведение учета основных средств в государственных учреждениях с учетом перехода на МСФО. Инвентаризация активов и обязательств. Учет и контроль материальных запасов. Актуальные вопросы учета основных средств и запасов: ошибки, выявленные в ходе проверок и аудита</w:t>
      </w:r>
      <w:r>
        <w:rPr>
          <w:rFonts w:ascii="Times New Roman" w:hAnsi="Times New Roman" w:eastAsia="MS Mincho"/>
          <w:b/>
          <w:bCs/>
          <w:lang w:val="kk-KZ" w:eastAsia="ja-JP"/>
        </w:rPr>
        <w:t>».</w:t>
      </w:r>
    </w:p>
    <w:p w14:paraId="3525F2CF">
      <w:pPr>
        <w:spacing w:after="0"/>
        <w:ind w:firstLine="567"/>
        <w:jc w:val="center"/>
        <w:rPr>
          <w:rFonts w:ascii="Times New Roman" w:hAnsi="Times New Roman" w:eastAsia="MS Mincho"/>
          <w:lang w:val="kk-KZ" w:eastAsia="ja-JP"/>
        </w:rPr>
      </w:pPr>
    </w:p>
    <w:tbl>
      <w:tblPr>
        <w:tblStyle w:val="3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3"/>
        <w:gridCol w:w="7479"/>
      </w:tblGrid>
      <w:tr w14:paraId="57F576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0BE0CCCA">
            <w:pPr>
              <w:spacing w:after="0"/>
              <w:jc w:val="center"/>
              <w:rPr>
                <w:rFonts w:ascii="Times New Roman" w:hAnsi="Times New Roman" w:eastAsia="MS Mincho"/>
                <w:b/>
                <w:bCs/>
                <w:lang w:val="kk-KZ" w:eastAsia="ja-JP"/>
              </w:rPr>
            </w:pPr>
            <w:r>
              <w:rPr>
                <w:rFonts w:ascii="Times New Roman" w:hAnsi="Times New Roman" w:eastAsia="MS Mincho"/>
                <w:b/>
                <w:bCs/>
                <w:lang w:val="kk-KZ" w:eastAsia="ja-JP"/>
              </w:rPr>
              <w:t>Наименование услуги</w:t>
            </w:r>
          </w:p>
        </w:tc>
        <w:tc>
          <w:tcPr>
            <w:tcW w:w="7479" w:type="dxa"/>
          </w:tcPr>
          <w:p w14:paraId="4A1D0FD7">
            <w:pPr>
              <w:spacing w:after="0"/>
              <w:jc w:val="center"/>
              <w:rPr>
                <w:rFonts w:ascii="Times New Roman" w:hAnsi="Times New Roman" w:eastAsia="MS Mincho"/>
                <w:b/>
                <w:bCs/>
                <w:lang w:val="kk-KZ" w:eastAsia="ja-JP"/>
              </w:rPr>
            </w:pPr>
            <w:r>
              <w:rPr>
                <w:rFonts w:ascii="Times New Roman" w:hAnsi="Times New Roman" w:eastAsia="MS Mincho"/>
                <w:b/>
                <w:bCs/>
                <w:lang w:eastAsia="ja-JP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Эффективное ведение учета основных средств в государственных учреждениях с учетом перехода на МСФО. Инвентаризация активов и обязательств. Учет и контроль материальных запасов. Актуальные вопросы учета основных средств и запасов: ошибки, выявленные в ходе проверок и аудита</w:t>
            </w:r>
            <w:r>
              <w:rPr>
                <w:rFonts w:ascii="Times New Roman" w:hAnsi="Times New Roman" w:eastAsia="MS Mincho"/>
                <w:b/>
                <w:bCs/>
                <w:lang w:val="kk-KZ" w:eastAsia="ja-JP"/>
              </w:rPr>
              <w:t>»</w:t>
            </w:r>
          </w:p>
        </w:tc>
      </w:tr>
      <w:tr w14:paraId="42DE7C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7EC6A2EE">
            <w:pPr>
              <w:spacing w:after="0"/>
              <w:jc w:val="center"/>
              <w:rPr>
                <w:rFonts w:ascii="Times New Roman" w:hAnsi="Times New Roman" w:eastAsia="MS Mincho"/>
                <w:b/>
                <w:bCs/>
                <w:lang w:val="kk-KZ" w:eastAsia="ja-JP"/>
              </w:rPr>
            </w:pPr>
            <w:r>
              <w:rPr>
                <w:rFonts w:ascii="Times New Roman" w:hAnsi="Times New Roman" w:eastAsia="MS Mincho"/>
                <w:b/>
                <w:bCs/>
                <w:lang w:val="kk-KZ" w:eastAsia="ja-JP"/>
              </w:rPr>
              <w:t>Место и форма оказания услуг</w:t>
            </w:r>
          </w:p>
        </w:tc>
        <w:tc>
          <w:tcPr>
            <w:tcW w:w="7479" w:type="dxa"/>
          </w:tcPr>
          <w:p w14:paraId="25658650">
            <w:pPr>
              <w:spacing w:after="0"/>
              <w:jc w:val="center"/>
              <w:rPr>
                <w:rFonts w:ascii="Times New Roman" w:hAnsi="Times New Roman" w:eastAsia="MS Mincho"/>
                <w:lang w:val="kk-KZ" w:eastAsia="ja-JP"/>
              </w:rPr>
            </w:pPr>
            <w:r>
              <w:rPr>
                <w:rFonts w:ascii="Times New Roman" w:hAnsi="Times New Roman" w:eastAsia="MS Mincho"/>
                <w:lang w:val="kk-KZ" w:eastAsia="ja-JP"/>
              </w:rPr>
              <w:t>В онлайн формате</w:t>
            </w:r>
          </w:p>
        </w:tc>
      </w:tr>
      <w:tr w14:paraId="4EBF9B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6C6131D0">
            <w:pPr>
              <w:spacing w:after="0"/>
              <w:jc w:val="center"/>
              <w:rPr>
                <w:rFonts w:ascii="Times New Roman" w:hAnsi="Times New Roman" w:eastAsia="MS Mincho"/>
                <w:b/>
                <w:bCs/>
                <w:lang w:val="kk-KZ" w:eastAsia="ja-JP"/>
              </w:rPr>
            </w:pPr>
            <w:r>
              <w:rPr>
                <w:rFonts w:ascii="Times New Roman" w:hAnsi="Times New Roman" w:eastAsia="MS Mincho"/>
                <w:b/>
                <w:bCs/>
                <w:lang w:val="kk-KZ" w:eastAsia="ja-JP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7479" w:type="dxa"/>
          </w:tcPr>
          <w:p w14:paraId="67C0F145">
            <w:pPr>
              <w:spacing w:after="0"/>
              <w:jc w:val="both"/>
              <w:rPr>
                <w:rFonts w:ascii="Times New Roman" w:hAnsi="Times New Roman" w:eastAsia="MS Mincho"/>
                <w:lang w:eastAsia="ja-JP"/>
              </w:rPr>
            </w:pPr>
            <w:r>
              <w:rPr>
                <w:rFonts w:ascii="Times New Roman" w:hAnsi="Times New Roman" w:eastAsia="MS Mincho"/>
                <w:lang w:eastAsia="ja-JP"/>
              </w:rPr>
              <w:t xml:space="preserve">Услуга по обучению работников Заказчика в курсах повышения квалификации по </w:t>
            </w:r>
            <w:r>
              <w:rPr>
                <w:rFonts w:ascii="Times New Roman" w:hAnsi="Times New Roman"/>
                <w:lang w:val="kk-KZ" w:eastAsia="ja-JP"/>
              </w:rPr>
              <w:t>э</w:t>
            </w:r>
            <w:r>
              <w:rPr>
                <w:rFonts w:ascii="Times New Roman" w:hAnsi="Times New Roman"/>
                <w:sz w:val="24"/>
                <w:szCs w:val="24"/>
              </w:rPr>
              <w:t>ффективно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ведени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учет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основных средств в государственных учреждениях с учетом перехода на МСФО</w:t>
            </w:r>
            <w:r>
              <w:rPr>
                <w:rFonts w:ascii="Times New Roman" w:hAnsi="Times New Roman" w:eastAsia="MS Mincho"/>
                <w:lang w:eastAsia="ja-JP"/>
              </w:rPr>
              <w:t xml:space="preserve"> должна включать в себя: </w:t>
            </w:r>
          </w:p>
          <w:p w14:paraId="36B5AB82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b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b/>
                <w:sz w:val="20"/>
                <w:szCs w:val="20"/>
              </w:rPr>
              <w:t>Эффективное ведение учета ОС</w:t>
            </w:r>
          </w:p>
          <w:p w14:paraId="72817B42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"sub_id=201"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Первоначальная оценка основных средств (первоначальное признание)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6C62756E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"sub_id=202"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Затраты, не включаемые в стоимость основного средства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183FF0E1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"sub_id=203"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Отражение в учете операций по приобретению основных средств (корреспонденция счетов)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68089B36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"sub_id=204"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Порядок определения первоначальной стоимости основных средств при создании (строительстве) объекта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 xml:space="preserve"> </w:t>
            </w:r>
          </w:p>
          <w:p w14:paraId="2D375EA7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"sub_id=205"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Отражение в учете операций по созданию объектов основных средств (корреспонденция счетов)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4037060F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"sub_id=206"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Порядок определения первоначальной стоимости основных средств, полученных по договору безвозмездного получения (дарения)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19F03BAD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"sub_id=207"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Отражение в учете операций по безвозмездному получению объектов основных средств (корреспонденция счетов)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302E279A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"sub_id=208"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Последующая оценка основных средств (оценка основных средств после признания)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 xml:space="preserve"> </w:t>
            </w:r>
          </w:p>
          <w:p w14:paraId="75B20AEB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"sub_id=209"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Обесценение основных средств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4A59E09E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"sub_id=210"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Определение возмещаемой суммы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750AE1FD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"sub_id=211"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Амортизация основных средств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 xml:space="preserve"> </w:t>
            </w:r>
          </w:p>
          <w:p w14:paraId="3D8CA9E3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"sub_id=212"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Пересмотр срока полезной службы и методов амортизации основных средств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585E306C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fldChar w:fldCharType="begin"/>
            </w:r>
            <w:r>
              <w:instrText xml:space="preserve"> HYPERLINK "http://online.zakon.kz/Document/?doc_id=39539342" \l "sub_id=3"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ВЫБЫТИЕ ОСНОВНЫХ СРЕДСТВ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30747999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"sub_id=301"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Корреспонденция счетов, применяемая при различных операциях выбытия основных средств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7F69BEAA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"sub_id=302"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Особенности учета земли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 xml:space="preserve"> </w:t>
            </w:r>
          </w:p>
          <w:p w14:paraId="16C48907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"sub_id=4"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РЕМОНТ ОСНОВНЫХ СРЕДСТВ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0CC9A265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"sub_id=401"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Учет последующих затрат в основные средства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2E67AFCB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"sub_id=402"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Учет последующих капитальных вложений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5ACFD3F0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"sub_id=403"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Примеры видов работ, относимые к капитальным ремонтам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72028C2E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"sub_id=404"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Расходы на комплексные проверки или комплексный ремонт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66C8B36D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"sub_id=405"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Учет последующих расходов некапитального характера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3C983A09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"sub_id=406"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Примеры видов работ, относимых к текущим ремонтам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36F73227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"sub_id=407"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Примеры видов работ, относимых к техническому обслуживанию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444BD590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"sub_id=408"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Учет ремонта арендованных основных средств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2C4CD586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  <w:lang w:val="kk-KZ"/>
              </w:rPr>
            </w:pPr>
            <w:r>
              <w:fldChar w:fldCharType="begin"/>
            </w:r>
            <w:r>
              <w:instrText xml:space="preserve"> HYPERLINK "http://online.zakon.kz/Document/?doc_id=39539342" \l "sub_id=409"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ИНВЕНТАРИЗАЦИЯ ОСНОВНЫХ ФОНДОВ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1AA831DA">
            <w:pPr>
              <w:spacing w:after="0" w:line="240" w:lineRule="auto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b/>
                <w:bCs/>
                <w:sz w:val="20"/>
                <w:szCs w:val="20"/>
                <w:shd w:val="clear" w:color="auto" w:fill="FFFFFF"/>
              </w:rPr>
              <w:t>Изменения в       Правилах проведения инвентаризации </w:t>
            </w:r>
            <w:r>
              <w:rPr>
                <w:rFonts w:ascii="Times New Roman" w:hAnsi="Times New Roman" w:eastAsiaTheme="minorEastAsia"/>
                <w:b/>
                <w:bCs/>
                <w:color w:val="000000"/>
                <w:sz w:val="20"/>
                <w:szCs w:val="20"/>
                <w:shd w:val="clear" w:color="auto" w:fill="FFFFFF"/>
              </w:rPr>
              <w:t>Приказ Министра финансов Республики Казахстан от 24 декабря 2024 года № 863</w:t>
            </w:r>
          </w:p>
          <w:p w14:paraId="418D2634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"http://online.zakon.kz/Document/?doc_id=39539342" \l "sub_id=410"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РАСКРЫТИЕ ИНФОРМАЦИИ В ФИНАНСОВОЙ ОТЧЕТНОСТИ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5EFF6098">
            <w:pPr>
              <w:spacing w:after="0" w:line="240" w:lineRule="auto"/>
              <w:ind w:firstLine="400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</w:p>
          <w:p w14:paraId="0629A0E8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b/>
                <w:sz w:val="20"/>
                <w:szCs w:val="20"/>
              </w:rPr>
            </w:pPr>
            <w:r>
              <w:rPr>
                <w:rFonts w:ascii="Times New Roman" w:hAnsi="Times New Roman" w:eastAsiaTheme="minorEastAsia"/>
                <w:b/>
                <w:sz w:val="20"/>
                <w:szCs w:val="20"/>
              </w:rPr>
              <w:t>Учет и контроль материальных запасов, ошибки выявленные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Theme="minorEastAsia"/>
                <w:b/>
                <w:sz w:val="20"/>
                <w:szCs w:val="20"/>
              </w:rPr>
              <w:t>в ходе проверок и аудит.</w:t>
            </w:r>
          </w:p>
          <w:p w14:paraId="060E9729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"sub1"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Приобретение запасов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78C9C02E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"sub101"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Примеры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6EDE9F11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"sub102"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Распределение расходов, связанных с приобретением запасов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6D8940D7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"sub103"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Приобретение запасов (корреспонденция счетов)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45896713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"sub104"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Системы учета запасов (примеры)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43441E31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"sub105"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Методы оценки запасов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274712EC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"sub106"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Метод Средневзвешенной стоимости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6CADA865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"sub107"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Метод ФИФО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5D222187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"sub2"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Учет выбытия запасов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016D152F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"sub201"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Реализация запасов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50D25715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"sub202"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Реализация запасов на условиях консигнации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3063A483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"sub203"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Реализация запасов (запасы в пути)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79AAF966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"sub204"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Списание запасов на производство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2F2EA6A8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"sub205"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Передача запасов в Уставный капитал других хозяйствующих субъектов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2BBC4463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"sub206"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Выбытие запасов в случаях недостачи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70985D22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"sub207"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Прочее выбытие запасов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2039D305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"sub3"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Складской учет запасов и документальное оформление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65612F6C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"sub301"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Основные документы по движению запасов на складе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5C651C72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"sub302"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Учет запасов на складах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2E0135EE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"sub303"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Учет запасов в бухгалтерии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7F7EB03E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"sub304"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Специфика учета отдельных групп запасов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3A3C30FC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"sub4"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Учет горюче-смазочных материалов (ГСМ)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32301421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"sub401"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Общие требования по учету ГСМ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798114FF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"sub402"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Порядок применения объемно-весового метода учета жидких видов ГСМ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680F60C3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"sub403"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Учет поступления ГСМ на склад (место хранения)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310008DC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"sub404"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Правила отпуска нефтепродуктов со склада (места хранения) при отгрузке автомобильным транспортом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6960A89A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"sub405"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Отпуск нефтепродуктов для прочих производственных нужд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3C30FD21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"sub406"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Правила отпуска нефтепродуктов со склада (места хранения) в подотчет водителям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3E6BA505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"sub407"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Списание нефтепродуктов с подотчета водителей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42A675FA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"sub5"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Учет запчастей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0708C467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"sub8"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Учет готовой продукции и товаров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766348F4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"sub801"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Выпуск готовой продукции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59F2B8EB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"sub802"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Учет отгруженной готовой продукции и отгруженных товаров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4FACE803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"sub9"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Последующая оценка стоимости запасов компании. Резерв на ликвидные активы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374D905C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"sub901"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Обесценение запасов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35A7E806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"sub902"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Порядок определения чистой цены продажи на дату баланса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057CF66A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"sub903"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Примеры определения чистой цены продажи для некоторых запасов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2605F7E2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"sub904"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 xml:space="preserve">Влияние событий после даты баланса на сумму списания до чистой цены продажи 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4E03557E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"sub905"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Оценка в последующих периодах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70F3AC0C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"sub906"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Резерв на неликвидные запасы на дату баланса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4F1C2A11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"sub907"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Влияние событий после даты баланса на величину резерва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0686A2A0">
            <w:pPr>
              <w:spacing w:after="0" w:line="240" w:lineRule="auto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"sub10"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Инвентаризация запасов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</w:p>
          <w:p w14:paraId="2E28E140">
            <w:pPr>
              <w:spacing w:after="0"/>
              <w:jc w:val="both"/>
              <w:rPr>
                <w:rFonts w:ascii="Times New Roman" w:hAnsi="Times New Roman" w:eastAsiaTheme="minorEastAsia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\l "sub11" </w:instrText>
            </w:r>
            <w:r>
              <w:fldChar w:fldCharType="separate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Раскрытие информации в финансовой отчетности</w:t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fldChar w:fldCharType="end"/>
            </w:r>
            <w:r>
              <w:rPr>
                <w:rFonts w:ascii="Times New Roman" w:hAnsi="Times New Roman" w:eastAsiaTheme="minorEastAsia"/>
                <w:sz w:val="20"/>
                <w:szCs w:val="20"/>
              </w:rPr>
              <w:t> </w:t>
            </w:r>
          </w:p>
          <w:p w14:paraId="1249F8FF">
            <w:pPr>
              <w:spacing w:after="0"/>
              <w:jc w:val="both"/>
              <w:rPr>
                <w:rFonts w:ascii="Times New Roman" w:hAnsi="Times New Roman" w:eastAsiaTheme="minorEastAsia"/>
                <w:sz w:val="20"/>
                <w:szCs w:val="20"/>
                <w:highlight w:val="yellow"/>
                <w:lang w:eastAsia="ja-JP"/>
              </w:rPr>
            </w:pPr>
          </w:p>
          <w:p w14:paraId="38445754">
            <w:pPr>
              <w:spacing w:after="0"/>
              <w:jc w:val="both"/>
              <w:rPr>
                <w:rFonts w:ascii="Times New Roman" w:hAnsi="Times New Roman" w:eastAsia="MS Mincho"/>
                <w:lang w:eastAsia="ja-JP"/>
              </w:rPr>
            </w:pPr>
            <w:r>
              <w:rPr>
                <w:rFonts w:ascii="Times New Roman" w:hAnsi="Times New Roman" w:eastAsia="MS Mincho"/>
                <w:lang w:eastAsia="ja-JP"/>
              </w:rPr>
              <w:t>В случае изменения даты обучения Подрядчик обязан уведомить Заказчика не позднее чем за 5 (пять) рабочих дней до ранее запланированной даты обучения. В случае технических неполадок Подрядчик обязан незамедлительно устранить неисправности.</w:t>
            </w:r>
          </w:p>
          <w:p w14:paraId="30D70BE1">
            <w:pPr>
              <w:spacing w:after="0"/>
              <w:jc w:val="both"/>
              <w:rPr>
                <w:rFonts w:ascii="Times New Roman" w:hAnsi="Times New Roman" w:eastAsia="MS Mincho"/>
                <w:lang w:eastAsia="ja-JP"/>
              </w:rPr>
            </w:pPr>
            <w:r>
              <w:rPr>
                <w:rFonts w:ascii="Times New Roman" w:hAnsi="Times New Roman" w:eastAsia="MS Mincho"/>
                <w:lang w:eastAsia="ja-JP"/>
              </w:rPr>
              <w:t>Заказчик имеет право назначить из числа своих сотрудников лицо, ответственное за проверку соответствия предоставляемых услуг требованиям, указанным в технической документации.</w:t>
            </w:r>
          </w:p>
          <w:p w14:paraId="3AA45E3A">
            <w:pPr>
              <w:spacing w:after="0"/>
              <w:jc w:val="both"/>
              <w:rPr>
                <w:rFonts w:ascii="Times New Roman" w:hAnsi="Times New Roman" w:eastAsia="MS Mincho"/>
                <w:highlight w:val="yellow"/>
                <w:lang w:eastAsia="ja-JP"/>
              </w:rPr>
            </w:pPr>
            <w:r>
              <w:rPr>
                <w:rFonts w:ascii="Times New Roman" w:hAnsi="Times New Roman" w:eastAsia="MS Mincho"/>
                <w:lang w:eastAsia="ja-JP"/>
              </w:rPr>
              <w:t>По завершении обучения Подрядчик выдает сотрудникам Заказчика сертификаты.</w:t>
            </w:r>
          </w:p>
        </w:tc>
      </w:tr>
      <w:tr w14:paraId="38D00E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27C530EB">
            <w:pPr>
              <w:spacing w:after="0"/>
              <w:jc w:val="center"/>
              <w:rPr>
                <w:rFonts w:ascii="Times New Roman" w:hAnsi="Times New Roman" w:eastAsia="MS Mincho"/>
                <w:b/>
                <w:bCs/>
                <w:lang w:val="kk-KZ" w:eastAsia="ja-JP"/>
              </w:rPr>
            </w:pPr>
            <w:r>
              <w:rPr>
                <w:rFonts w:ascii="Times New Roman" w:hAnsi="Times New Roman" w:eastAsia="MS Mincho"/>
                <w:b/>
                <w:bCs/>
                <w:lang w:val="kk-KZ" w:eastAsia="ja-JP"/>
              </w:rPr>
              <w:t>Количество обучающих работников Заказчика</w:t>
            </w:r>
          </w:p>
        </w:tc>
        <w:tc>
          <w:tcPr>
            <w:tcW w:w="7479" w:type="dxa"/>
          </w:tcPr>
          <w:p w14:paraId="52F269C2">
            <w:pPr>
              <w:spacing w:after="0"/>
              <w:jc w:val="both"/>
              <w:rPr>
                <w:rFonts w:ascii="Times New Roman" w:hAnsi="Times New Roman" w:eastAsia="MS Mincho"/>
                <w:lang w:eastAsia="ja-JP"/>
              </w:rPr>
            </w:pPr>
            <w:r>
              <w:rPr>
                <w:rFonts w:hint="default" w:ascii="Times New Roman" w:hAnsi="Times New Roman" w:eastAsia="MS Mincho"/>
                <w:lang w:val="ru-RU" w:eastAsia="ja-JP"/>
              </w:rPr>
              <w:t xml:space="preserve">1 </w:t>
            </w:r>
            <w:bookmarkStart w:id="0" w:name="_GoBack"/>
            <w:bookmarkEnd w:id="0"/>
            <w:r>
              <w:rPr>
                <w:rFonts w:ascii="Times New Roman" w:hAnsi="Times New Roman" w:eastAsia="MS Mincho"/>
                <w:lang w:eastAsia="ja-JP"/>
              </w:rPr>
              <w:t>сотрудник</w:t>
            </w:r>
          </w:p>
        </w:tc>
      </w:tr>
      <w:tr w14:paraId="216533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20D3667F">
            <w:pPr>
              <w:spacing w:after="0"/>
              <w:jc w:val="center"/>
              <w:rPr>
                <w:rFonts w:ascii="Times New Roman" w:hAnsi="Times New Roman" w:eastAsia="MS Mincho"/>
                <w:b/>
                <w:bCs/>
                <w:lang w:val="kk-KZ" w:eastAsia="ja-JP"/>
              </w:rPr>
            </w:pPr>
            <w:r>
              <w:rPr>
                <w:rFonts w:ascii="Times New Roman" w:hAnsi="Times New Roman" w:eastAsia="MS Mincho"/>
                <w:b/>
                <w:bCs/>
                <w:lang w:val="kk-KZ" w:eastAsia="ja-JP"/>
              </w:rPr>
              <w:t xml:space="preserve">Условия оплаты </w:t>
            </w:r>
          </w:p>
        </w:tc>
        <w:tc>
          <w:tcPr>
            <w:tcW w:w="7479" w:type="dxa"/>
          </w:tcPr>
          <w:p w14:paraId="690FE230">
            <w:pPr>
              <w:spacing w:after="0"/>
              <w:jc w:val="both"/>
              <w:rPr>
                <w:rFonts w:ascii="Times New Roman" w:hAnsi="Times New Roman" w:eastAsia="MS Mincho"/>
                <w:lang w:eastAsia="ja-JP"/>
              </w:rPr>
            </w:pPr>
            <w:r>
              <w:rPr>
                <w:rFonts w:ascii="Times New Roman" w:hAnsi="Times New Roman" w:eastAsia="MS Mincho"/>
                <w:lang w:eastAsia="ja-JP"/>
              </w:rPr>
              <w:t>Оплата производится по факту оказанных услуг в течение 3-х календарных дней со дня подписания акта оказанных услуг</w:t>
            </w:r>
          </w:p>
        </w:tc>
      </w:tr>
      <w:tr w14:paraId="788A03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426D6E48">
            <w:pPr>
              <w:spacing w:after="0"/>
              <w:jc w:val="center"/>
              <w:rPr>
                <w:rFonts w:ascii="Times New Roman" w:hAnsi="Times New Roman" w:eastAsia="MS Mincho"/>
                <w:b/>
                <w:bCs/>
                <w:lang w:val="kk-KZ" w:eastAsia="ja-JP"/>
              </w:rPr>
            </w:pPr>
            <w:r>
              <w:rPr>
                <w:rFonts w:ascii="Times New Roman" w:hAnsi="Times New Roman" w:eastAsia="MS Mincho"/>
                <w:b/>
                <w:bCs/>
                <w:lang w:val="kk-KZ" w:eastAsia="ja-JP"/>
              </w:rPr>
              <w:t xml:space="preserve">Дополнительное требования к Исполнителю </w:t>
            </w:r>
          </w:p>
        </w:tc>
        <w:tc>
          <w:tcPr>
            <w:tcW w:w="7479" w:type="dxa"/>
          </w:tcPr>
          <w:p w14:paraId="7B2C962C">
            <w:pPr>
              <w:spacing w:after="0"/>
              <w:jc w:val="both"/>
              <w:rPr>
                <w:rFonts w:ascii="Times New Roman" w:hAnsi="Times New Roman" w:eastAsia="MS Mincho"/>
                <w:lang w:eastAsia="ja-JP"/>
              </w:rPr>
            </w:pPr>
            <w:r>
              <w:rPr>
                <w:rFonts w:ascii="Times New Roman" w:hAnsi="Times New Roman" w:eastAsia="MS Mincho"/>
                <w:lang w:eastAsia="ja-JP"/>
              </w:rPr>
              <w:t>Исполнитель при участии в закупках должен предоставить свидетельство об аккредитации, выданное Комитетом внутреннего государственного аудита при Министерстве финансов РК.</w:t>
            </w:r>
          </w:p>
        </w:tc>
      </w:tr>
    </w:tbl>
    <w:p w14:paraId="61C4A0BD">
      <w:pPr>
        <w:spacing w:after="0"/>
        <w:ind w:firstLine="567"/>
        <w:jc w:val="center"/>
        <w:rPr>
          <w:rFonts w:ascii="Times New Roman" w:hAnsi="Times New Roman" w:eastAsia="MS Mincho"/>
          <w:lang w:val="kk-KZ" w:eastAsia="ja-JP"/>
        </w:rPr>
      </w:pPr>
    </w:p>
    <w:p w14:paraId="4F575B2F">
      <w:pPr>
        <w:spacing w:after="0"/>
        <w:ind w:firstLine="567"/>
        <w:jc w:val="center"/>
        <w:rPr>
          <w:rFonts w:ascii="Times New Roman" w:hAnsi="Times New Roman" w:eastAsia="MS Mincho"/>
          <w:lang w:val="kk-KZ" w:eastAsia="ja-JP"/>
        </w:rPr>
      </w:pPr>
    </w:p>
    <w:sectPr>
      <w:pgSz w:w="11906" w:h="16838"/>
      <w:pgMar w:top="993" w:right="566" w:bottom="568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ＭＳ 明朝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D34"/>
    <w:rsid w:val="000058E6"/>
    <w:rsid w:val="000075ED"/>
    <w:rsid w:val="000411D8"/>
    <w:rsid w:val="000421EC"/>
    <w:rsid w:val="00046F0C"/>
    <w:rsid w:val="00081BEF"/>
    <w:rsid w:val="000A4898"/>
    <w:rsid w:val="000C042C"/>
    <w:rsid w:val="000C09C3"/>
    <w:rsid w:val="000C4778"/>
    <w:rsid w:val="000D1791"/>
    <w:rsid w:val="000E1F42"/>
    <w:rsid w:val="000F03A7"/>
    <w:rsid w:val="000F1719"/>
    <w:rsid w:val="00100034"/>
    <w:rsid w:val="00111DD1"/>
    <w:rsid w:val="00127B68"/>
    <w:rsid w:val="001662FC"/>
    <w:rsid w:val="001A015B"/>
    <w:rsid w:val="001A32D8"/>
    <w:rsid w:val="001B5A61"/>
    <w:rsid w:val="001D059B"/>
    <w:rsid w:val="001D26D3"/>
    <w:rsid w:val="001E4E6C"/>
    <w:rsid w:val="001E5ECC"/>
    <w:rsid w:val="001F0E02"/>
    <w:rsid w:val="001F17CF"/>
    <w:rsid w:val="00214A18"/>
    <w:rsid w:val="00243742"/>
    <w:rsid w:val="00245264"/>
    <w:rsid w:val="00251CCA"/>
    <w:rsid w:val="00253150"/>
    <w:rsid w:val="00253824"/>
    <w:rsid w:val="00264C4A"/>
    <w:rsid w:val="002A1454"/>
    <w:rsid w:val="002A6AF7"/>
    <w:rsid w:val="002A6C96"/>
    <w:rsid w:val="002D7447"/>
    <w:rsid w:val="002E5C89"/>
    <w:rsid w:val="002F5A19"/>
    <w:rsid w:val="002F7B81"/>
    <w:rsid w:val="00304039"/>
    <w:rsid w:val="00311022"/>
    <w:rsid w:val="0032164D"/>
    <w:rsid w:val="00323E2E"/>
    <w:rsid w:val="0034206D"/>
    <w:rsid w:val="00344EC9"/>
    <w:rsid w:val="0035721B"/>
    <w:rsid w:val="00367E2C"/>
    <w:rsid w:val="003744E8"/>
    <w:rsid w:val="0037664A"/>
    <w:rsid w:val="003A68C8"/>
    <w:rsid w:val="003A7CBA"/>
    <w:rsid w:val="003B3971"/>
    <w:rsid w:val="003D4557"/>
    <w:rsid w:val="003E58A6"/>
    <w:rsid w:val="003F0C2B"/>
    <w:rsid w:val="003F603B"/>
    <w:rsid w:val="00400E0C"/>
    <w:rsid w:val="00411E32"/>
    <w:rsid w:val="00412A05"/>
    <w:rsid w:val="00421D49"/>
    <w:rsid w:val="0042353B"/>
    <w:rsid w:val="00432553"/>
    <w:rsid w:val="004368C5"/>
    <w:rsid w:val="00440A1C"/>
    <w:rsid w:val="004440F1"/>
    <w:rsid w:val="00451F6E"/>
    <w:rsid w:val="004540D9"/>
    <w:rsid w:val="004552FE"/>
    <w:rsid w:val="00455F26"/>
    <w:rsid w:val="004610EA"/>
    <w:rsid w:val="00461FE5"/>
    <w:rsid w:val="00483225"/>
    <w:rsid w:val="00485A6A"/>
    <w:rsid w:val="00487715"/>
    <w:rsid w:val="004A51FA"/>
    <w:rsid w:val="004B21B5"/>
    <w:rsid w:val="004C1842"/>
    <w:rsid w:val="004D2C3F"/>
    <w:rsid w:val="004D451F"/>
    <w:rsid w:val="004D537F"/>
    <w:rsid w:val="004D53A6"/>
    <w:rsid w:val="004E742E"/>
    <w:rsid w:val="004F2D32"/>
    <w:rsid w:val="004F4F0D"/>
    <w:rsid w:val="004F60EA"/>
    <w:rsid w:val="005047EF"/>
    <w:rsid w:val="0051576D"/>
    <w:rsid w:val="00515CBF"/>
    <w:rsid w:val="005321A6"/>
    <w:rsid w:val="00537D34"/>
    <w:rsid w:val="005634B2"/>
    <w:rsid w:val="00564136"/>
    <w:rsid w:val="00596988"/>
    <w:rsid w:val="005A053B"/>
    <w:rsid w:val="005C683E"/>
    <w:rsid w:val="005D5E30"/>
    <w:rsid w:val="00611DEA"/>
    <w:rsid w:val="0062615D"/>
    <w:rsid w:val="00650256"/>
    <w:rsid w:val="00662D10"/>
    <w:rsid w:val="006B4101"/>
    <w:rsid w:val="006B5F68"/>
    <w:rsid w:val="006C60F9"/>
    <w:rsid w:val="006F5170"/>
    <w:rsid w:val="006F5361"/>
    <w:rsid w:val="00706B97"/>
    <w:rsid w:val="00707E3E"/>
    <w:rsid w:val="007507E0"/>
    <w:rsid w:val="00752BF0"/>
    <w:rsid w:val="007533AF"/>
    <w:rsid w:val="0076276A"/>
    <w:rsid w:val="007664B2"/>
    <w:rsid w:val="00776771"/>
    <w:rsid w:val="0077706C"/>
    <w:rsid w:val="00794A2C"/>
    <w:rsid w:val="007A19EF"/>
    <w:rsid w:val="007A65B8"/>
    <w:rsid w:val="007C3B4E"/>
    <w:rsid w:val="007C4057"/>
    <w:rsid w:val="007C7DCD"/>
    <w:rsid w:val="007D5907"/>
    <w:rsid w:val="008062EE"/>
    <w:rsid w:val="008418DC"/>
    <w:rsid w:val="008549FA"/>
    <w:rsid w:val="00867E11"/>
    <w:rsid w:val="00872EA7"/>
    <w:rsid w:val="00895B36"/>
    <w:rsid w:val="00897C84"/>
    <w:rsid w:val="008B7D14"/>
    <w:rsid w:val="008C0605"/>
    <w:rsid w:val="008C79DA"/>
    <w:rsid w:val="008D0A77"/>
    <w:rsid w:val="008E1724"/>
    <w:rsid w:val="008E22DF"/>
    <w:rsid w:val="008F4A74"/>
    <w:rsid w:val="00904931"/>
    <w:rsid w:val="00916D10"/>
    <w:rsid w:val="00921611"/>
    <w:rsid w:val="00927769"/>
    <w:rsid w:val="00946EF1"/>
    <w:rsid w:val="00963534"/>
    <w:rsid w:val="0096395A"/>
    <w:rsid w:val="0096695C"/>
    <w:rsid w:val="00985DFD"/>
    <w:rsid w:val="00987EC4"/>
    <w:rsid w:val="009A064C"/>
    <w:rsid w:val="009B27A8"/>
    <w:rsid w:val="009D1076"/>
    <w:rsid w:val="009D3EF6"/>
    <w:rsid w:val="00A05E40"/>
    <w:rsid w:val="00A11CBB"/>
    <w:rsid w:val="00A15B46"/>
    <w:rsid w:val="00A249CE"/>
    <w:rsid w:val="00A2626E"/>
    <w:rsid w:val="00A2695B"/>
    <w:rsid w:val="00A27252"/>
    <w:rsid w:val="00A3467C"/>
    <w:rsid w:val="00A37B93"/>
    <w:rsid w:val="00A4641B"/>
    <w:rsid w:val="00A509E3"/>
    <w:rsid w:val="00A52292"/>
    <w:rsid w:val="00A65D5F"/>
    <w:rsid w:val="00A84F85"/>
    <w:rsid w:val="00A96597"/>
    <w:rsid w:val="00AA0529"/>
    <w:rsid w:val="00AB610A"/>
    <w:rsid w:val="00AC5511"/>
    <w:rsid w:val="00AE25C0"/>
    <w:rsid w:val="00AF4AEB"/>
    <w:rsid w:val="00B001D4"/>
    <w:rsid w:val="00B1194E"/>
    <w:rsid w:val="00B5448A"/>
    <w:rsid w:val="00B56154"/>
    <w:rsid w:val="00B83F7C"/>
    <w:rsid w:val="00B93219"/>
    <w:rsid w:val="00B933F0"/>
    <w:rsid w:val="00BB4E6D"/>
    <w:rsid w:val="00BC2D06"/>
    <w:rsid w:val="00BE1D22"/>
    <w:rsid w:val="00BE6BE6"/>
    <w:rsid w:val="00BE7020"/>
    <w:rsid w:val="00C21BE7"/>
    <w:rsid w:val="00C23535"/>
    <w:rsid w:val="00C54360"/>
    <w:rsid w:val="00C55CA0"/>
    <w:rsid w:val="00C861E0"/>
    <w:rsid w:val="00C94CAF"/>
    <w:rsid w:val="00C95E3E"/>
    <w:rsid w:val="00CC3A5B"/>
    <w:rsid w:val="00CC4511"/>
    <w:rsid w:val="00CC7F62"/>
    <w:rsid w:val="00CE6983"/>
    <w:rsid w:val="00D00BBD"/>
    <w:rsid w:val="00D21566"/>
    <w:rsid w:val="00D221C6"/>
    <w:rsid w:val="00D25358"/>
    <w:rsid w:val="00D409EF"/>
    <w:rsid w:val="00D74743"/>
    <w:rsid w:val="00DA3ADF"/>
    <w:rsid w:val="00DC2568"/>
    <w:rsid w:val="00DC48DB"/>
    <w:rsid w:val="00DC7CA1"/>
    <w:rsid w:val="00DE218C"/>
    <w:rsid w:val="00DF7BD2"/>
    <w:rsid w:val="00E00490"/>
    <w:rsid w:val="00E10DB7"/>
    <w:rsid w:val="00E25E6A"/>
    <w:rsid w:val="00E27993"/>
    <w:rsid w:val="00E40199"/>
    <w:rsid w:val="00E732B4"/>
    <w:rsid w:val="00E94C81"/>
    <w:rsid w:val="00EA7951"/>
    <w:rsid w:val="00EB0B58"/>
    <w:rsid w:val="00EB5F19"/>
    <w:rsid w:val="00EC0D20"/>
    <w:rsid w:val="00ED270D"/>
    <w:rsid w:val="00EF1FC6"/>
    <w:rsid w:val="00F2085F"/>
    <w:rsid w:val="00F302B9"/>
    <w:rsid w:val="00F757D9"/>
    <w:rsid w:val="00F853E3"/>
    <w:rsid w:val="00F97F7B"/>
    <w:rsid w:val="00FA7F17"/>
    <w:rsid w:val="00FC111A"/>
    <w:rsid w:val="00FC5933"/>
    <w:rsid w:val="00FD2B06"/>
    <w:rsid w:val="00FD2FEB"/>
    <w:rsid w:val="00FD640A"/>
    <w:rsid w:val="00FD7114"/>
    <w:rsid w:val="00FE2089"/>
    <w:rsid w:val="00FE6EF2"/>
    <w:rsid w:val="00FF0C74"/>
    <w:rsid w:val="435D4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unhideWhenUsed/>
    <w:qFormat/>
    <w:uiPriority w:val="99"/>
    <w:rPr>
      <w:color w:val="0000FF"/>
      <w:u w:val="single"/>
    </w:rPr>
  </w:style>
  <w:style w:type="paragraph" w:styleId="5">
    <w:name w:val="Balloon Text"/>
    <w:basedOn w:val="1"/>
    <w:link w:val="8"/>
    <w:semiHidden/>
    <w:unhideWhenUsed/>
    <w:qFormat/>
    <w:uiPriority w:val="99"/>
    <w:pPr>
      <w:spacing w:after="0" w:line="240" w:lineRule="auto"/>
    </w:pPr>
    <w:rPr>
      <w:rFonts w:ascii="Tahoma" w:hAnsi="Tahoma"/>
      <w:sz w:val="16"/>
      <w:szCs w:val="16"/>
      <w:lang w:val="zh-CN"/>
    </w:rPr>
  </w:style>
  <w:style w:type="paragraph" w:styleId="6">
    <w:name w:val="HTML Preformatted"/>
    <w:basedOn w:val="1"/>
    <w:link w:val="11"/>
    <w:unhideWhenUsed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7">
    <w:name w:val="Table Grid"/>
    <w:basedOn w:val="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8">
    <w:name w:val="Текст выноски Знак"/>
    <w:link w:val="5"/>
    <w:semiHidden/>
    <w:qFormat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9">
    <w:name w:val="List Paragraph"/>
    <w:basedOn w:val="1"/>
    <w:qFormat/>
    <w:uiPriority w:val="34"/>
    <w:pPr>
      <w:ind w:left="720"/>
      <w:contextualSpacing/>
    </w:pPr>
    <w:rPr>
      <w:rFonts w:eastAsia="Calibri"/>
      <w:lang w:eastAsia="en-US"/>
    </w:rPr>
  </w:style>
  <w:style w:type="paragraph" w:styleId="10">
    <w:name w:val="No Spacing"/>
    <w:link w:val="13"/>
    <w:qFormat/>
    <w:uiPriority w:val="1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customStyle="1" w:styleId="11">
    <w:name w:val="Стандартный HTML Знак"/>
    <w:link w:val="6"/>
    <w:qFormat/>
    <w:uiPriority w:val="99"/>
    <w:rPr>
      <w:rFonts w:ascii="Courier New" w:hAnsi="Courier New" w:eastAsia="Times New Roman" w:cs="Courier New"/>
    </w:rPr>
  </w:style>
  <w:style w:type="character" w:customStyle="1" w:styleId="12">
    <w:name w:val="y2iqfc"/>
    <w:qFormat/>
    <w:uiPriority w:val="0"/>
  </w:style>
  <w:style w:type="character" w:customStyle="1" w:styleId="13">
    <w:name w:val="Без интервала Знак"/>
    <w:link w:val="10"/>
    <w:locked/>
    <w:uiPriority w:val="1"/>
    <w:rPr>
      <w:rFonts w:ascii="Times New Roman" w:hAnsi="Times New Roman" w:eastAsia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F1C28-D47F-42D3-AA95-61A3CB4E272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4</Pages>
  <Words>1288</Words>
  <Characters>9614</Characters>
  <Lines>692</Lines>
  <Paragraphs>325</Paragraphs>
  <TotalTime>109</TotalTime>
  <ScaleCrop>false</ScaleCrop>
  <LinksUpToDate>false</LinksUpToDate>
  <CharactersWithSpaces>10744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2026-05-19T05:36:00Z</dcterms:created>
  <dc:creator>User</dc:creator>
  <cp:lastModifiedBy>alex_</cp:lastModifiedBy>
  <cp:lastPrinted>2016-08-15T10:32:00Z</cp:lastPrinted>
  <dcterms:modified xsi:type="dcterms:W3CDTF">2026-10-14T11:34:01Z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eyJoZGlkIjoiOTc3M2Y5NzIzMDFlZjAyY2Q4Njk5ODkyYjFjNzBiNTQifQ==</vt:lpwstr>
  </property>
  <property fmtid="{D5CDD505-2E9C-101B-9397-08002B2CF9AE}" pid="3" name="KSOProductBuildVer">
    <vt:lpwstr>1049-12.1.0.29162</vt:lpwstr>
  </property>
  <property fmtid="{D5CDD505-2E9C-101B-9397-08002B2CF9AE}" pid="4" name="ICV">
    <vt:lpwstr>17E94DF4292A4F8CB1BE210A1E68B8A5_13</vt:lpwstr>
  </property>
</Properties>
</file>