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0"/>
        </w:rPr>
        <w:t>ТЕХНИЧЕСКАЯ СПЕЦИФИКАЦИЯ</w:t>
      </w:r>
    </w:p>
    <w:p>
      <w:pPr>
        <w:jc w:val="center"/>
      </w:pPr>
      <w:r>
        <w:rPr>
          <w:b/>
          <w:sz w:val="24"/>
        </w:rPr>
        <w:t>на выполнение ремонтных работ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28"/>
        <w:gridCol w:w="5128"/>
      </w:tblGrid>
      <w:tr>
        <w:tc>
          <w:tcPr>
            <w:tcW w:type="dxa" w:w="5128"/>
          </w:tcPr>
          <w:p>
            <w:r>
              <w:rPr>
                <w:b/>
                <w:sz w:val="18"/>
              </w:rPr>
              <w:t>Наименование объекта</w:t>
            </w:r>
          </w:p>
        </w:tc>
        <w:tc>
          <w:tcPr>
            <w:tcW w:type="dxa" w:w="5128"/>
          </w:tcPr>
          <w:p>
            <w:r>
              <w:rPr>
                <w:sz w:val="18"/>
              </w:rPr>
              <w:t>Ремонт помещения №213 УТЦ (филиал, г. Алматы) СК-ЦСК МО РК</w:t>
            </w:r>
          </w:p>
        </w:tc>
      </w:tr>
      <w:tr>
        <w:tc>
          <w:tcPr>
            <w:tcW w:type="dxa" w:w="5128"/>
          </w:tcPr>
          <w:p>
            <w:r>
              <w:rPr>
                <w:b/>
                <w:sz w:val="18"/>
              </w:rPr>
              <w:t>Место выполнения работ</w:t>
            </w:r>
          </w:p>
        </w:tc>
        <w:tc>
          <w:tcPr>
            <w:tcW w:type="dxa" w:w="5128"/>
          </w:tcPr>
          <w:p>
            <w:r>
              <w:rPr>
                <w:sz w:val="18"/>
              </w:rPr>
              <w:t>г. Алматы, объект заказчика</w:t>
            </w:r>
          </w:p>
        </w:tc>
      </w:tr>
      <w:tr>
        <w:tc>
          <w:tcPr>
            <w:tcW w:type="dxa" w:w="5128"/>
          </w:tcPr>
          <w:p>
            <w:r>
              <w:rPr>
                <w:b/>
                <w:sz w:val="18"/>
              </w:rPr>
              <w:t>Вид закупки</w:t>
            </w:r>
          </w:p>
        </w:tc>
        <w:tc>
          <w:tcPr>
            <w:tcW w:type="dxa" w:w="5128"/>
          </w:tcPr>
          <w:p>
            <w:r>
              <w:rPr>
                <w:sz w:val="18"/>
              </w:rPr>
              <w:t>Выполнение ремонтных работ</w:t>
            </w:r>
          </w:p>
        </w:tc>
      </w:tr>
      <w:tr>
        <w:tc>
          <w:tcPr>
            <w:tcW w:type="dxa" w:w="5128"/>
          </w:tcPr>
          <w:p>
            <w:r>
              <w:rPr>
                <w:b/>
                <w:sz w:val="18"/>
              </w:rPr>
              <w:t>Основание для разработки</w:t>
            </w:r>
          </w:p>
        </w:tc>
        <w:tc>
          <w:tcPr>
            <w:tcW w:type="dxa" w:w="5128"/>
          </w:tcPr>
          <w:p>
            <w:r>
              <w:rPr>
                <w:sz w:val="18"/>
              </w:rPr>
              <w:t>Дефектная ведомость из сметной документации «Смета-1.xlsx»</w:t>
            </w:r>
          </w:p>
        </w:tc>
      </w:tr>
    </w:tbl>
    <w:p>
      <w:r>
        <w:rPr>
          <w:b/>
          <w:sz w:val="24"/>
        </w:rPr>
        <w:t>1. Перечень и объемы работ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51"/>
        <w:gridCol w:w="2051"/>
        <w:gridCol w:w="2051"/>
        <w:gridCol w:w="2051"/>
        <w:gridCol w:w="2051"/>
      </w:tblGrid>
      <w:tr>
        <w:tc>
          <w:tcPr>
            <w:tcW w:type="dxa" w:w="2051"/>
            <w:shd w:fill="D9EAF7"/>
          </w:tcPr>
          <w:p>
            <w:r>
              <w:rPr>
                <w:b/>
                <w:sz w:val="16"/>
              </w:rPr>
              <w:t>№</w:t>
            </w:r>
          </w:p>
        </w:tc>
        <w:tc>
          <w:tcPr>
            <w:tcW w:type="dxa" w:w="2051"/>
            <w:shd w:fill="D9EAF7"/>
          </w:tcPr>
          <w:p>
            <w:r>
              <w:rPr>
                <w:b/>
                <w:sz w:val="16"/>
              </w:rPr>
              <w:t>Наименование работ</w:t>
            </w:r>
          </w:p>
        </w:tc>
        <w:tc>
          <w:tcPr>
            <w:tcW w:type="dxa" w:w="2051"/>
            <w:shd w:fill="D9EAF7"/>
          </w:tcPr>
          <w:p>
            <w:r>
              <w:rPr>
                <w:b/>
                <w:sz w:val="16"/>
              </w:rPr>
              <w:t>Ед. изм.</w:t>
            </w:r>
          </w:p>
        </w:tc>
        <w:tc>
          <w:tcPr>
            <w:tcW w:type="dxa" w:w="2051"/>
            <w:shd w:fill="D9EAF7"/>
          </w:tcPr>
          <w:p>
            <w:r>
              <w:rPr>
                <w:b/>
                <w:sz w:val="16"/>
              </w:rPr>
              <w:t>Кол-во</w:t>
            </w:r>
          </w:p>
        </w:tc>
        <w:tc>
          <w:tcPr>
            <w:tcW w:type="dxa" w:w="2051"/>
            <w:shd w:fill="D9EAF7"/>
          </w:tcPr>
          <w:p>
            <w:r>
              <w:rPr>
                <w:b/>
                <w:sz w:val="16"/>
              </w:rPr>
              <w:t>Основные технические требования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1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Устройство стяжек цементных, толщиной 20 мм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стяжки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68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с соблюдением технологии устройства оснований и покрытий, обеспечив ровность, прочность, надежность и отсутствие дефектов.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2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Устройство стяжек цементных, толщиной 20 мм. Добавлять или исключать на каждые 5 мм изменения толщины стяжки к норме 1111-0103-0101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стяжки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68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с соблюдением технологии устройства оснований и покрытий, обеспечив ровность, прочность, надежность и отсутствие дефектов.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3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Устройство покрытий полов полимерцементных однослойных наливных, толщиной 4 мм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покрытия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68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с соблюдением технологии устройства оснований и покрытий, обеспечив ровность, прочность, надежность и отсутствие дефектов.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4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Устройство покрытий ламинированных напольных клеевым способом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покрытия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63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с соблюдением технологии устройства оснований и покрытий, обеспечив ровность, прочность, надежность и отсутствие дефектов.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5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Устройство плинтусов поливинилхлоридных на самонарезающих винтах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 плинтусов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54,0355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с соблюдением технологии устройства оснований и покрытий, обеспечив ровность, прочность, надежность и отсутствие дефектов.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6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Устройство покрытий полов из плиток керамических на клее из сухих смесей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покрытия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5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с соблюдением технологии устройства оснований и покрытий, обеспечив ровность, прочность, надежность и отсутствие дефектов.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7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Оштукатуривание поверхности стены внутри помещения раствором из сухой смеси на гипсовой основе, толщина до 10 мм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оштукатуриваемой поверхности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131,25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штукатурные, шпаклевочные и окрасочные работы с обеспечением ровной, однородной поверхности без трещин, отслоений и наплывов.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8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Подготовка под покраску раствором из сухих смесей поверхности стены, оштукатуренной раствором из сухих смесей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отделываемой поверхности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131,25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штукатурные, шпаклевочные и окрасочные работы с обеспечением ровной, однородной поверхности без трещин, отслоений и наплывов.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9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Улучшенная покраска водоэмульсионными составами по штукатурке и сборнной конструкции стены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окрашиваемой поверхности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131,25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штукатурные, шпаклевочные и окрасочные работы с обеспечением ровной, однородной поверхности без трещин, отслоений и наплывов.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10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Подготовка под покраску раствором из сухих смесей поверхности бетонного потолка за два раза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отделываемой поверхности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68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подготовку, шпаклевание и окраску потолка. Поверхность должна быть ровной, однородной и без видимых дефектов.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11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Улучшенная покраска водоэмульсионными составами по штукатурке и сборнной конструкции потолка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м² окрашиваемой поверхности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68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Выполнить подготовку, шпаклевание и окраску потолка. Поверхность должна быть ровной, однородной и без видимых дефектов.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12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Установка кабины душевой пластиковой с подводкой холодной и горячей воды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комплект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1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Установить оборудование с подключением к сетям холодного и горячего водоснабжения. Соединения выполнить герметично, проверить отсутствие протечек.</w:t>
            </w:r>
          </w:p>
        </w:tc>
      </w:tr>
      <w:tr>
        <w:tc>
          <w:tcPr>
            <w:tcW w:type="dxa" w:w="2051"/>
          </w:tcPr>
          <w:p>
            <w:r>
              <w:rPr>
                <w:sz w:val="15"/>
              </w:rPr>
              <w:t>13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Установка умывальника одиночного с инсталляцией с подводкой холодной и горячей воды, с установкой и подключением смесителя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комплект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1</w:t>
            </w:r>
          </w:p>
        </w:tc>
        <w:tc>
          <w:tcPr>
            <w:tcW w:type="dxa" w:w="2051"/>
          </w:tcPr>
          <w:p>
            <w:r>
              <w:rPr>
                <w:sz w:val="15"/>
              </w:rPr>
              <w:t>Установить оборудование с подключением к сетям холодного и горячего водоснабжения. Соединения выполнить герметично, проверить отсутствие протечек.</w:t>
            </w:r>
          </w:p>
        </w:tc>
      </w:tr>
    </w:tbl>
    <w:p>
      <w:r>
        <w:rPr>
          <w:b/>
          <w:sz w:val="24"/>
        </w:rPr>
        <w:t>2. Технические требования к выполнению работ</w:t>
      </w:r>
    </w:p>
    <w:p>
      <w:pPr>
        <w:pStyle w:val="ListBullet"/>
        <w:spacing w:after="40"/>
      </w:pPr>
      <w:r>
        <w:t>Подрядчик обязан выполнить весь объем работ, предусмотренный технической спецификацией и дефектной ведомостью.</w:t>
      </w:r>
    </w:p>
    <w:p>
      <w:pPr>
        <w:pStyle w:val="ListBullet"/>
        <w:spacing w:after="40"/>
      </w:pPr>
      <w:r>
        <w:t>Материалы, изделия и оборудование должны быть новыми, качественными и соответствовать действующим стандартам и требованиям Республики Казахстан.</w:t>
      </w:r>
    </w:p>
    <w:p>
      <w:pPr>
        <w:pStyle w:val="ListBullet"/>
        <w:spacing w:after="40"/>
      </w:pPr>
      <w:r>
        <w:t>До начала работ уточнить фактические размеры, состояние поверхностей и расположение инженерных сетей.</w:t>
      </w:r>
    </w:p>
    <w:p>
      <w:pPr>
        <w:pStyle w:val="ListBullet"/>
        <w:spacing w:after="40"/>
      </w:pPr>
      <w:r>
        <w:t>Работы выполнять с соблюдением охраны труда, пожарной безопасности и санитарных норм.</w:t>
      </w:r>
    </w:p>
    <w:p>
      <w:pPr>
        <w:pStyle w:val="ListBullet"/>
        <w:spacing w:after="40"/>
      </w:pPr>
      <w:r>
        <w:t>Строительный мусор удалять по мере образования и после завершения работ.</w:t>
      </w:r>
    </w:p>
    <w:p>
      <w:pPr>
        <w:pStyle w:val="ListBullet"/>
        <w:spacing w:after="40"/>
      </w:pPr>
      <w:r>
        <w:t>Дополнительные работы выполнять только после письменного согласования с заказчиком.</w:t>
      </w:r>
    </w:p>
    <w:p>
      <w:r>
        <w:rPr>
          <w:b/>
          <w:sz w:val="24"/>
        </w:rPr>
        <w:t>3. Требования к качеству и приемке</w:t>
      </w:r>
    </w:p>
    <w:p>
      <w:pPr>
        <w:pStyle w:val="ListBullet"/>
        <w:spacing w:after="40"/>
      </w:pPr>
      <w:r>
        <w:t>Приемка осуществляется заказчиком по фактическому объему и качеству выполненных работ.</w:t>
      </w:r>
    </w:p>
    <w:p>
      <w:pPr>
        <w:pStyle w:val="ListBullet"/>
        <w:spacing w:after="40"/>
      </w:pPr>
      <w:r>
        <w:t>Отделочные поверхности должны быть ровными, однородными, без трещин, отслоений, пятен и иных видимых дефектов.</w:t>
      </w:r>
    </w:p>
    <w:p>
      <w:pPr>
        <w:pStyle w:val="ListBullet"/>
        <w:spacing w:after="40"/>
      </w:pPr>
      <w:r>
        <w:t>Сантехнические подключения проверить на герметичность и работоспособность.</w:t>
      </w:r>
    </w:p>
    <w:p>
      <w:pPr>
        <w:pStyle w:val="ListBullet"/>
        <w:spacing w:after="40"/>
      </w:pPr>
      <w:r>
        <w:t>Выявленные по вине подрядчика недостатки устраняются за его счет.</w:t>
      </w:r>
    </w:p>
    <w:p>
      <w:pPr>
        <w:pStyle w:val="ListBullet"/>
        <w:spacing w:after="40"/>
      </w:pPr>
      <w:r>
        <w:t>После завершения работ объект передается в чистом состоянии, без строительного мусора.</w:t>
      </w:r>
    </w:p>
    <w:p>
      <w:r>
        <w:rPr>
          <w:b/>
          <w:sz w:val="24"/>
        </w:rPr>
        <w:t>4. Срок и условия выполнения работ</w:t>
      </w:r>
    </w:p>
    <w:p>
      <w:pPr>
        <w:pStyle w:val="ListBullet"/>
        <w:spacing w:after="40"/>
      </w:pPr>
      <w:r>
        <w:t>Срок выполнения работ устанавливается условиями договора о государственных закупках.</w:t>
      </w:r>
    </w:p>
    <w:p>
      <w:pPr>
        <w:pStyle w:val="ListBullet"/>
        <w:spacing w:after="40"/>
      </w:pPr>
      <w:r>
        <w:t>Начало работ — после подписания договора и передачи объекта заказчиком, если договором не предусмотрено иное.</w:t>
      </w:r>
    </w:p>
    <w:p>
      <w:pPr>
        <w:pStyle w:val="ListBullet"/>
        <w:spacing w:after="40"/>
      </w:pPr>
      <w:r>
        <w:t>Подрядчик обеспечивает рабочую силу, инструменты, оборудование и расходные материалы согласно условиям договора.</w:t>
      </w:r>
    </w:p>
    <w:p>
      <w:pPr>
        <w:pStyle w:val="ListBullet"/>
        <w:spacing w:after="40"/>
      </w:pPr>
      <w:r>
        <w:t>Изменения объема, материалов или технологии согласовываются с заказчиком письменно.</w:t>
      </w:r>
    </w:p>
    <w:p>
      <w:r>
        <w:rPr>
          <w:b/>
          <w:sz w:val="24"/>
        </w:rPr>
        <w:t>5. Гарантийные обязательства</w:t>
      </w:r>
    </w:p>
    <w:p>
      <w:pPr>
        <w:pStyle w:val="ListBullet"/>
        <w:spacing w:after="40"/>
      </w:pPr>
      <w:r>
        <w:t>Гарантийные обязательства определяются договором о государственных закупках и законодательством Республики Казахстан. Подрядчик устраняет недостатки, возникшие по его вине, в течение гарантийного срока в установленном порядке.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28"/>
        <w:gridCol w:w="5128"/>
      </w:tblGrid>
      <w:tr>
        <w:tc>
          <w:tcPr>
            <w:tcW w:type="dxa" w:w="5128"/>
          </w:tcPr>
          <w:p>
            <w:r>
              <w:rPr>
                <w:b/>
              </w:rPr>
              <w:t>Заказчик</w:t>
            </w:r>
          </w:p>
        </w:tc>
        <w:tc>
          <w:tcPr>
            <w:tcW w:type="dxa" w:w="5128"/>
          </w:tcPr>
          <w:p>
            <w:r>
              <w:t>____________________________</w:t>
            </w:r>
          </w:p>
        </w:tc>
      </w:tr>
      <w:tr>
        <w:tc>
          <w:tcPr>
            <w:tcW w:type="dxa" w:w="5128"/>
          </w:tcPr>
          <w:p>
            <w:r>
              <w:rPr>
                <w:b/>
              </w:rPr>
              <w:t>Подрядчик</w:t>
            </w:r>
          </w:p>
        </w:tc>
        <w:tc>
          <w:tcPr>
            <w:tcW w:type="dxa" w:w="5128"/>
          </w:tcPr>
          <w:p>
            <w:r>
              <w:t>____________________________</w:t>
            </w:r>
          </w:p>
        </w:tc>
      </w:tr>
      <w:tr>
        <w:tc>
          <w:tcPr>
            <w:tcW w:type="dxa" w:w="5128"/>
          </w:tcPr>
          <w:p>
            <w:r>
              <w:rPr>
                <w:b/>
              </w:rPr>
              <w:t>Дата</w:t>
            </w:r>
          </w:p>
        </w:tc>
        <w:tc>
          <w:tcPr>
            <w:tcW w:type="dxa" w:w="5128"/>
          </w:tcPr>
          <w:p>
            <w:r>
              <w:t>«____» __________ 2026 г.</w:t>
            </w:r>
          </w:p>
        </w:tc>
      </w:tr>
    </w:tbl>
    <w:sectPr w:rsidR="00FC693F" w:rsidRPr="0006063C" w:rsidSect="00034616">
      <w:pgSz w:w="12240" w:h="15840"/>
      <w:pgMar w:top="1020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