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B8CE0">
      <w:pPr>
        <w:pStyle w:val="25"/>
      </w:pPr>
      <w:r>
        <w:t>Техническая спецификация</w:t>
      </w:r>
      <w:r>
        <w:br w:type="textWrapping"/>
      </w:r>
      <w:r>
        <w:t>текущего ремонта музыкального зала</w:t>
      </w:r>
    </w:p>
    <w:p w14:paraId="09EC0C20">
      <w:r>
        <w:t>ГККП «ДЕТСКИЙ САД-ЯСЛИ №70» отдела образования по городу Усть-Каменогорску управления образования Восточно-Казахстанской области</w:t>
      </w:r>
    </w:p>
    <w:p w14:paraId="3AB467EE">
      <w:pPr>
        <w:pStyle w:val="2"/>
      </w:pPr>
      <w:r>
        <w:t>1 Общие сведения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1"/>
        <w:gridCol w:w="4961"/>
      </w:tblGrid>
      <w:tr w14:paraId="56D19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4961" w:type="dxa"/>
          </w:tcPr>
          <w:p w14:paraId="35B70109">
            <w:pPr>
              <w:spacing w:before="60" w:after="60"/>
            </w:pPr>
            <w:r>
              <w:rPr>
                <w:b/>
                <w:sz w:val="18"/>
              </w:rPr>
              <w:t>Параметр</w:t>
            </w:r>
          </w:p>
        </w:tc>
        <w:tc>
          <w:tcPr>
            <w:tcW w:w="4961" w:type="dxa"/>
          </w:tcPr>
          <w:p w14:paraId="57AA4867">
            <w:pPr>
              <w:spacing w:before="60" w:after="60"/>
            </w:pPr>
            <w:r>
              <w:rPr>
                <w:b/>
                <w:sz w:val="18"/>
              </w:rPr>
              <w:t>Значение</w:t>
            </w:r>
          </w:p>
        </w:tc>
      </w:tr>
      <w:tr w14:paraId="013FC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961" w:type="dxa"/>
          </w:tcPr>
          <w:p w14:paraId="67DE81D5">
            <w:pPr>
              <w:spacing w:before="60" w:after="60"/>
            </w:pPr>
            <w:r>
              <w:rPr>
                <w:b w:val="0"/>
                <w:sz w:val="18"/>
              </w:rPr>
              <w:t>Предмет закупки</w:t>
            </w:r>
          </w:p>
        </w:tc>
        <w:tc>
          <w:tcPr>
            <w:tcW w:w="4961" w:type="dxa"/>
          </w:tcPr>
          <w:p w14:paraId="74F0670B">
            <w:pPr>
              <w:spacing w:before="60" w:after="60"/>
            </w:pPr>
            <w:r>
              <w:rPr>
                <w:b w:val="0"/>
                <w:sz w:val="18"/>
              </w:rPr>
              <w:t>Текущий ремонт музыкального зала с поставкой и установкой предусмотренного оборудования</w:t>
            </w:r>
          </w:p>
        </w:tc>
      </w:tr>
      <w:tr w14:paraId="79606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961" w:type="dxa"/>
          </w:tcPr>
          <w:p w14:paraId="7579E85C">
            <w:pPr>
              <w:spacing w:before="60" w:after="60"/>
            </w:pPr>
            <w:r>
              <w:rPr>
                <w:b w:val="0"/>
                <w:sz w:val="18"/>
              </w:rPr>
              <w:t>Место выполнения</w:t>
            </w:r>
          </w:p>
        </w:tc>
        <w:tc>
          <w:tcPr>
            <w:tcW w:w="4961" w:type="dxa"/>
          </w:tcPr>
          <w:p w14:paraId="181C9B7D">
            <w:pPr>
              <w:spacing w:before="60" w:after="60"/>
            </w:pPr>
            <w:r>
              <w:rPr>
                <w:b w:val="0"/>
                <w:sz w:val="18"/>
              </w:rPr>
              <w:t>Республика Казахстан, Восточно-Казахстанская область, город Усть-Каменогорск, пр. Нурсултана Назарбаева, д. 34/2</w:t>
            </w:r>
          </w:p>
        </w:tc>
      </w:tr>
    </w:tbl>
    <w:p w14:paraId="71F81062">
      <w:r>
        <w:t>Результат работ: отремонтированный музыкальный зал с установленными дверными блоками, деревянной сценой и лестницей, напольным покрытием, стеновой облицовкой, освещением, мебелью и спортивным оборудованием, пригодный для эксплуатации по назначению.</w:t>
      </w:r>
    </w:p>
    <w:p w14:paraId="45C0C890">
      <w:pPr>
        <w:pStyle w:val="2"/>
      </w:pPr>
      <w:bookmarkStart w:id="0" w:name="_GoBack"/>
      <w:bookmarkEnd w:id="0"/>
      <w:r>
        <w:t>2 Виды и объемы работ</w:t>
      </w:r>
    </w:p>
    <w:p w14:paraId="16037BB1">
      <w:r>
        <w:t>Подрядчик выполняет перечисленные работы и обеспечивает поставку материалов и оборудования. Позиции поставки дверных блоков, линолеума, панелей и светильников относятся к соответствующим позициям монтажа и не увеличивают объем установленного покрытия или количество изделий.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4372"/>
        <w:gridCol w:w="2480"/>
        <w:gridCol w:w="2480"/>
      </w:tblGrid>
      <w:tr w14:paraId="4D0BB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88" w:type="dxa"/>
          </w:tcPr>
          <w:p w14:paraId="23C67E2B">
            <w:pPr>
              <w:spacing w:before="60" w:after="60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4372" w:type="dxa"/>
          </w:tcPr>
          <w:p w14:paraId="46D2E5C2">
            <w:pPr>
              <w:spacing w:before="60" w:after="60"/>
            </w:pPr>
            <w:r>
              <w:rPr>
                <w:b/>
                <w:sz w:val="18"/>
              </w:rPr>
              <w:t>Работа или поставка</w:t>
            </w:r>
          </w:p>
        </w:tc>
        <w:tc>
          <w:tcPr>
            <w:tcW w:w="2480" w:type="dxa"/>
          </w:tcPr>
          <w:p w14:paraId="6C81428A">
            <w:pPr>
              <w:spacing w:before="60" w:after="60"/>
            </w:pPr>
            <w:r>
              <w:rPr>
                <w:b/>
                <w:sz w:val="18"/>
              </w:rPr>
              <w:t>Ед. изм.</w:t>
            </w:r>
          </w:p>
        </w:tc>
        <w:tc>
          <w:tcPr>
            <w:tcW w:w="2480" w:type="dxa"/>
          </w:tcPr>
          <w:p w14:paraId="5E002E90">
            <w:pPr>
              <w:spacing w:before="60" w:after="60"/>
            </w:pPr>
            <w:r>
              <w:rPr>
                <w:b/>
                <w:sz w:val="18"/>
              </w:rPr>
              <w:t>Объем</w:t>
            </w:r>
          </w:p>
        </w:tc>
      </w:tr>
      <w:tr w14:paraId="0F5FC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5084019">
            <w:pPr>
              <w:spacing w:before="60" w:after="60"/>
            </w:pPr>
            <w:r>
              <w:rPr>
                <w:b w:val="0"/>
                <w:sz w:val="18"/>
              </w:rPr>
              <w:t>1</w:t>
            </w:r>
          </w:p>
        </w:tc>
        <w:tc>
          <w:tcPr>
            <w:tcW w:w="4372" w:type="dxa"/>
          </w:tcPr>
          <w:p w14:paraId="7686C2B5">
            <w:pPr>
              <w:spacing w:before="60" w:after="60"/>
            </w:pPr>
            <w:r>
              <w:rPr>
                <w:b w:val="0"/>
                <w:sz w:val="18"/>
              </w:rPr>
              <w:t>Коробки дверные в каменных стенах. Демонтаж с отбивкой штукатурки в откосах</w:t>
            </w:r>
          </w:p>
        </w:tc>
        <w:tc>
          <w:tcPr>
            <w:tcW w:w="2480" w:type="dxa"/>
          </w:tcPr>
          <w:p w14:paraId="423FA271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042F2845">
            <w:pPr>
              <w:spacing w:before="60" w:after="60"/>
            </w:pPr>
            <w:r>
              <w:rPr>
                <w:b w:val="0"/>
                <w:sz w:val="18"/>
              </w:rPr>
              <w:t>2</w:t>
            </w:r>
          </w:p>
        </w:tc>
      </w:tr>
      <w:tr w14:paraId="7F4C1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30FD5BE">
            <w:pPr>
              <w:spacing w:before="60" w:after="60"/>
            </w:pPr>
            <w:r>
              <w:rPr>
                <w:b w:val="0"/>
                <w:sz w:val="18"/>
              </w:rPr>
              <w:t>2</w:t>
            </w:r>
          </w:p>
        </w:tc>
        <w:tc>
          <w:tcPr>
            <w:tcW w:w="4372" w:type="dxa"/>
          </w:tcPr>
          <w:p w14:paraId="4FBD596E">
            <w:pPr>
              <w:spacing w:before="60" w:after="60"/>
            </w:pPr>
            <w:r>
              <w:rPr>
                <w:b w:val="0"/>
                <w:sz w:val="18"/>
              </w:rPr>
              <w:t>Полотна дверные. Снятие</w:t>
            </w:r>
          </w:p>
        </w:tc>
        <w:tc>
          <w:tcPr>
            <w:tcW w:w="2480" w:type="dxa"/>
          </w:tcPr>
          <w:p w14:paraId="1924C8A6">
            <w:pPr>
              <w:spacing w:before="60" w:after="60"/>
            </w:pPr>
            <w:r>
              <w:rPr>
                <w:b w:val="0"/>
                <w:sz w:val="18"/>
              </w:rPr>
              <w:t>м2</w:t>
            </w:r>
          </w:p>
        </w:tc>
        <w:tc>
          <w:tcPr>
            <w:tcW w:w="2480" w:type="dxa"/>
          </w:tcPr>
          <w:p w14:paraId="142D4690">
            <w:pPr>
              <w:spacing w:before="60" w:after="60"/>
            </w:pPr>
            <w:r>
              <w:rPr>
                <w:b w:val="0"/>
                <w:sz w:val="18"/>
              </w:rPr>
              <w:t>3,2</w:t>
            </w:r>
          </w:p>
        </w:tc>
      </w:tr>
      <w:tr w14:paraId="4D4F6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4D223283">
            <w:pPr>
              <w:spacing w:before="60" w:after="60"/>
            </w:pPr>
            <w:r>
              <w:rPr>
                <w:b w:val="0"/>
                <w:sz w:val="18"/>
              </w:rPr>
              <w:t>3</w:t>
            </w:r>
          </w:p>
        </w:tc>
        <w:tc>
          <w:tcPr>
            <w:tcW w:w="4372" w:type="dxa"/>
          </w:tcPr>
          <w:p w14:paraId="3550CFB6">
            <w:pPr>
              <w:spacing w:before="60" w:after="60"/>
            </w:pPr>
            <w:r>
              <w:rPr>
                <w:b w:val="0"/>
                <w:sz w:val="18"/>
              </w:rPr>
              <w:t>Светильники для люминесцентных ламп. Демонтаж</w:t>
            </w:r>
          </w:p>
        </w:tc>
        <w:tc>
          <w:tcPr>
            <w:tcW w:w="2480" w:type="dxa"/>
          </w:tcPr>
          <w:p w14:paraId="21BA0F39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6089EFC2">
            <w:pPr>
              <w:spacing w:before="60" w:after="60"/>
            </w:pPr>
            <w:r>
              <w:rPr>
                <w:b w:val="0"/>
                <w:sz w:val="18"/>
              </w:rPr>
              <w:t>6</w:t>
            </w:r>
          </w:p>
        </w:tc>
      </w:tr>
      <w:tr w14:paraId="0FD87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E504419">
            <w:pPr>
              <w:spacing w:before="60" w:after="60"/>
            </w:pPr>
            <w:r>
              <w:rPr>
                <w:b w:val="0"/>
                <w:sz w:val="18"/>
              </w:rPr>
              <w:t>4</w:t>
            </w:r>
          </w:p>
        </w:tc>
        <w:tc>
          <w:tcPr>
            <w:tcW w:w="4372" w:type="dxa"/>
          </w:tcPr>
          <w:p w14:paraId="40153F6E">
            <w:pPr>
              <w:spacing w:before="60" w:after="60"/>
            </w:pPr>
            <w:r>
              <w:rPr>
                <w:b w:val="0"/>
                <w:sz w:val="18"/>
              </w:rPr>
              <w:t>Устройство конструкций деревянных дверных блоков площадью до 3 м2 во внутренних стенах и перегородках на распорных дюбелях</w:t>
            </w:r>
          </w:p>
        </w:tc>
        <w:tc>
          <w:tcPr>
            <w:tcW w:w="2480" w:type="dxa"/>
          </w:tcPr>
          <w:p w14:paraId="3B246713">
            <w:pPr>
              <w:spacing w:before="60" w:after="60"/>
            </w:pPr>
            <w:r>
              <w:rPr>
                <w:b w:val="0"/>
                <w:sz w:val="18"/>
              </w:rPr>
              <w:t>м2</w:t>
            </w:r>
          </w:p>
        </w:tc>
        <w:tc>
          <w:tcPr>
            <w:tcW w:w="2480" w:type="dxa"/>
          </w:tcPr>
          <w:p w14:paraId="2238DDFB">
            <w:pPr>
              <w:spacing w:before="60" w:after="60"/>
            </w:pPr>
            <w:r>
              <w:rPr>
                <w:b w:val="0"/>
                <w:sz w:val="18"/>
              </w:rPr>
              <w:t>3,2</w:t>
            </w:r>
          </w:p>
        </w:tc>
      </w:tr>
      <w:tr w14:paraId="3349D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7539484">
            <w:pPr>
              <w:spacing w:before="60" w:after="60"/>
            </w:pPr>
            <w:r>
              <w:rPr>
                <w:b w:val="0"/>
                <w:sz w:val="18"/>
              </w:rPr>
              <w:t>5</w:t>
            </w:r>
          </w:p>
        </w:tc>
        <w:tc>
          <w:tcPr>
            <w:tcW w:w="4372" w:type="dxa"/>
          </w:tcPr>
          <w:p w14:paraId="2E7F81BC">
            <w:pPr>
              <w:spacing w:before="60" w:after="60"/>
            </w:pPr>
            <w:r>
              <w:rPr>
                <w:b w:val="0"/>
                <w:sz w:val="18"/>
              </w:rPr>
              <w:t>Блок дверной внутренний с декоративной облицовкой натуральным шпоном из лиственных пород СТ РК 943-92 однопольный с глухими полотнами, с замком, ручками, навесами, обналичкой и доборными элементами</w:t>
            </w:r>
          </w:p>
        </w:tc>
        <w:tc>
          <w:tcPr>
            <w:tcW w:w="2480" w:type="dxa"/>
          </w:tcPr>
          <w:p w14:paraId="60720C6B">
            <w:pPr>
              <w:spacing w:before="60" w:after="60"/>
            </w:pPr>
            <w:r>
              <w:rPr>
                <w:b w:val="0"/>
                <w:sz w:val="18"/>
              </w:rPr>
              <w:t>м2</w:t>
            </w:r>
          </w:p>
        </w:tc>
        <w:tc>
          <w:tcPr>
            <w:tcW w:w="2480" w:type="dxa"/>
          </w:tcPr>
          <w:p w14:paraId="2B843BCE">
            <w:pPr>
              <w:spacing w:before="60" w:after="60"/>
            </w:pPr>
            <w:r>
              <w:rPr>
                <w:b w:val="0"/>
                <w:sz w:val="18"/>
              </w:rPr>
              <w:t>3,2</w:t>
            </w:r>
          </w:p>
        </w:tc>
      </w:tr>
      <w:tr w14:paraId="04C16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58F2612C">
            <w:pPr>
              <w:spacing w:before="60" w:after="60"/>
            </w:pPr>
            <w:r>
              <w:rPr>
                <w:b w:val="0"/>
                <w:sz w:val="18"/>
              </w:rPr>
              <w:t>6</w:t>
            </w:r>
          </w:p>
        </w:tc>
        <w:tc>
          <w:tcPr>
            <w:tcW w:w="4372" w:type="dxa"/>
          </w:tcPr>
          <w:p w14:paraId="43B6DD74">
            <w:pPr>
              <w:spacing w:before="60" w:after="60"/>
            </w:pPr>
            <w:r>
              <w:rPr>
                <w:b w:val="0"/>
                <w:sz w:val="18"/>
              </w:rPr>
              <w:t>Устройство сцены деревянной с выдвижными ящиками для хранения и покрытие дощатое, толщиной 36 мм</w:t>
            </w:r>
          </w:p>
        </w:tc>
        <w:tc>
          <w:tcPr>
            <w:tcW w:w="2480" w:type="dxa"/>
          </w:tcPr>
          <w:p w14:paraId="1B2DCC5D">
            <w:pPr>
              <w:spacing w:before="60" w:after="60"/>
            </w:pPr>
            <w:r>
              <w:rPr>
                <w:b w:val="0"/>
                <w:sz w:val="18"/>
              </w:rPr>
              <w:t>м2 покрытия</w:t>
            </w:r>
          </w:p>
        </w:tc>
        <w:tc>
          <w:tcPr>
            <w:tcW w:w="2480" w:type="dxa"/>
          </w:tcPr>
          <w:p w14:paraId="51001F50">
            <w:pPr>
              <w:spacing w:before="60" w:after="60"/>
            </w:pPr>
            <w:r>
              <w:rPr>
                <w:b w:val="0"/>
                <w:sz w:val="18"/>
              </w:rPr>
              <w:t>11,1</w:t>
            </w:r>
          </w:p>
        </w:tc>
      </w:tr>
      <w:tr w14:paraId="02D37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15EC3D9">
            <w:pPr>
              <w:spacing w:before="60" w:after="60"/>
            </w:pPr>
            <w:r>
              <w:rPr>
                <w:b w:val="0"/>
                <w:sz w:val="18"/>
              </w:rPr>
              <w:t>7</w:t>
            </w:r>
          </w:p>
        </w:tc>
        <w:tc>
          <w:tcPr>
            <w:tcW w:w="4372" w:type="dxa"/>
          </w:tcPr>
          <w:p w14:paraId="700E4A39">
            <w:pPr>
              <w:spacing w:before="60" w:after="60"/>
            </w:pPr>
            <w:r>
              <w:rPr>
                <w:b w:val="0"/>
                <w:sz w:val="18"/>
              </w:rPr>
              <w:t>Частичная обшивка досками</w:t>
            </w:r>
          </w:p>
        </w:tc>
        <w:tc>
          <w:tcPr>
            <w:tcW w:w="2480" w:type="dxa"/>
          </w:tcPr>
          <w:p w14:paraId="7E618D7B">
            <w:pPr>
              <w:spacing w:before="60" w:after="60"/>
            </w:pPr>
            <w:r>
              <w:rPr>
                <w:b w:val="0"/>
                <w:sz w:val="18"/>
              </w:rPr>
              <w:t>м2 обшивки стен (за вычетом проемов)</w:t>
            </w:r>
          </w:p>
        </w:tc>
        <w:tc>
          <w:tcPr>
            <w:tcW w:w="2480" w:type="dxa"/>
          </w:tcPr>
          <w:p w14:paraId="15AEBB1E">
            <w:pPr>
              <w:spacing w:before="60" w:after="60"/>
            </w:pPr>
            <w:r>
              <w:rPr>
                <w:b w:val="0"/>
                <w:sz w:val="18"/>
              </w:rPr>
              <w:t>2,5</w:t>
            </w:r>
          </w:p>
        </w:tc>
      </w:tr>
      <w:tr w14:paraId="6448D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2C85EE1">
            <w:pPr>
              <w:spacing w:before="60" w:after="60"/>
            </w:pPr>
            <w:r>
              <w:rPr>
                <w:b w:val="0"/>
                <w:sz w:val="18"/>
              </w:rPr>
              <w:t>8</w:t>
            </w:r>
          </w:p>
        </w:tc>
        <w:tc>
          <w:tcPr>
            <w:tcW w:w="4372" w:type="dxa"/>
          </w:tcPr>
          <w:p w14:paraId="25B13D8D">
            <w:pPr>
              <w:spacing w:before="60" w:after="60"/>
            </w:pPr>
            <w:r>
              <w:rPr>
                <w:b w:val="0"/>
                <w:sz w:val="18"/>
              </w:rPr>
              <w:t>Установка деревянной лестницы</w:t>
            </w:r>
          </w:p>
        </w:tc>
        <w:tc>
          <w:tcPr>
            <w:tcW w:w="2480" w:type="dxa"/>
          </w:tcPr>
          <w:p w14:paraId="22189349">
            <w:pPr>
              <w:spacing w:before="60" w:after="60"/>
            </w:pPr>
            <w:r>
              <w:rPr>
                <w:b w:val="0"/>
                <w:sz w:val="18"/>
              </w:rPr>
              <w:t>м² полка*</w:t>
            </w:r>
          </w:p>
        </w:tc>
        <w:tc>
          <w:tcPr>
            <w:tcW w:w="2480" w:type="dxa"/>
          </w:tcPr>
          <w:p w14:paraId="175CB7D8">
            <w:pPr>
              <w:spacing w:before="60" w:after="60"/>
            </w:pPr>
            <w:r>
              <w:rPr>
                <w:b w:val="0"/>
                <w:sz w:val="18"/>
              </w:rPr>
              <w:t>2,5</w:t>
            </w:r>
          </w:p>
        </w:tc>
      </w:tr>
      <w:tr w14:paraId="6718F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44371BF6">
            <w:pPr>
              <w:spacing w:before="60" w:after="60"/>
            </w:pPr>
            <w:r>
              <w:rPr>
                <w:b w:val="0"/>
                <w:sz w:val="18"/>
              </w:rPr>
              <w:t>9</w:t>
            </w:r>
          </w:p>
        </w:tc>
        <w:tc>
          <w:tcPr>
            <w:tcW w:w="4372" w:type="dxa"/>
          </w:tcPr>
          <w:p w14:paraId="141A2A40">
            <w:pPr>
              <w:spacing w:before="60" w:after="60"/>
            </w:pPr>
            <w:r>
              <w:rPr>
                <w:b w:val="0"/>
                <w:sz w:val="18"/>
              </w:rPr>
              <w:t>Уголки  металические шириной не менее 4см цвет золотистый</w:t>
            </w:r>
          </w:p>
        </w:tc>
        <w:tc>
          <w:tcPr>
            <w:tcW w:w="2480" w:type="dxa"/>
          </w:tcPr>
          <w:p w14:paraId="2002F76B">
            <w:pPr>
              <w:spacing w:before="60" w:after="60"/>
            </w:pPr>
            <w:r>
              <w:rPr>
                <w:b w:val="0"/>
                <w:sz w:val="18"/>
              </w:rPr>
              <w:t>м</w:t>
            </w:r>
          </w:p>
        </w:tc>
        <w:tc>
          <w:tcPr>
            <w:tcW w:w="2480" w:type="dxa"/>
          </w:tcPr>
          <w:p w14:paraId="33A10796">
            <w:pPr>
              <w:spacing w:before="60" w:after="60"/>
            </w:pPr>
            <w:r>
              <w:rPr>
                <w:b w:val="0"/>
                <w:sz w:val="18"/>
              </w:rPr>
              <w:t>11</w:t>
            </w:r>
          </w:p>
        </w:tc>
      </w:tr>
      <w:tr w14:paraId="391C6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0F4FF28">
            <w:pPr>
              <w:spacing w:before="60" w:after="60"/>
            </w:pPr>
            <w:r>
              <w:rPr>
                <w:b w:val="0"/>
                <w:sz w:val="18"/>
              </w:rPr>
              <w:t>10</w:t>
            </w:r>
          </w:p>
        </w:tc>
        <w:tc>
          <w:tcPr>
            <w:tcW w:w="4372" w:type="dxa"/>
          </w:tcPr>
          <w:p w14:paraId="3B1037C1">
            <w:pPr>
              <w:spacing w:before="60" w:after="60"/>
            </w:pPr>
            <w:r>
              <w:rPr>
                <w:b w:val="0"/>
                <w:sz w:val="18"/>
              </w:rPr>
              <w:t>Устройство плинтусов поливинилхлоридных на самонарезающих винтах</w:t>
            </w:r>
          </w:p>
        </w:tc>
        <w:tc>
          <w:tcPr>
            <w:tcW w:w="2480" w:type="dxa"/>
          </w:tcPr>
          <w:p w14:paraId="431B4B52">
            <w:pPr>
              <w:spacing w:before="60" w:after="60"/>
            </w:pPr>
            <w:r>
              <w:rPr>
                <w:b w:val="0"/>
                <w:sz w:val="18"/>
              </w:rPr>
              <w:t>м плинтусов</w:t>
            </w:r>
          </w:p>
        </w:tc>
        <w:tc>
          <w:tcPr>
            <w:tcW w:w="2480" w:type="dxa"/>
          </w:tcPr>
          <w:p w14:paraId="7AFF3D4C">
            <w:pPr>
              <w:spacing w:before="60" w:after="60"/>
            </w:pPr>
            <w:r>
              <w:rPr>
                <w:b w:val="0"/>
                <w:sz w:val="18"/>
              </w:rPr>
              <w:t>37</w:t>
            </w:r>
          </w:p>
        </w:tc>
      </w:tr>
      <w:tr w14:paraId="520BF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5CCA2E37">
            <w:pPr>
              <w:spacing w:before="60" w:after="60"/>
            </w:pPr>
            <w:r>
              <w:rPr>
                <w:b w:val="0"/>
                <w:sz w:val="18"/>
              </w:rPr>
              <w:t>11</w:t>
            </w:r>
          </w:p>
        </w:tc>
        <w:tc>
          <w:tcPr>
            <w:tcW w:w="4372" w:type="dxa"/>
          </w:tcPr>
          <w:p w14:paraId="3E1EB65D">
            <w:pPr>
              <w:spacing w:before="60" w:after="60"/>
            </w:pPr>
            <w:r>
              <w:rPr>
                <w:b w:val="0"/>
                <w:sz w:val="18"/>
              </w:rPr>
              <w:t>Устройство покрытия полов из линолеума на клее в зале и на сцене с учетом лестницы</w:t>
            </w:r>
          </w:p>
        </w:tc>
        <w:tc>
          <w:tcPr>
            <w:tcW w:w="2480" w:type="dxa"/>
          </w:tcPr>
          <w:p w14:paraId="06809F43">
            <w:pPr>
              <w:spacing w:before="60" w:after="60"/>
            </w:pPr>
            <w:r>
              <w:rPr>
                <w:b w:val="0"/>
                <w:sz w:val="18"/>
              </w:rPr>
              <w:t>м2 покрытия</w:t>
            </w:r>
          </w:p>
        </w:tc>
        <w:tc>
          <w:tcPr>
            <w:tcW w:w="2480" w:type="dxa"/>
          </w:tcPr>
          <w:p w14:paraId="78304B0B">
            <w:pPr>
              <w:spacing w:before="60" w:after="60"/>
            </w:pPr>
            <w:r>
              <w:rPr>
                <w:b w:val="0"/>
                <w:sz w:val="18"/>
              </w:rPr>
              <w:t>73</w:t>
            </w:r>
          </w:p>
        </w:tc>
      </w:tr>
      <w:tr w14:paraId="34B6D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A35CAEF">
            <w:pPr>
              <w:spacing w:before="60" w:after="60"/>
            </w:pPr>
            <w:r>
              <w:rPr>
                <w:b w:val="0"/>
                <w:sz w:val="18"/>
              </w:rPr>
              <w:t>12</w:t>
            </w:r>
          </w:p>
        </w:tc>
        <w:tc>
          <w:tcPr>
            <w:tcW w:w="4372" w:type="dxa"/>
          </w:tcPr>
          <w:p w14:paraId="0278E083">
            <w:pPr>
              <w:spacing w:before="60" w:after="60"/>
            </w:pPr>
            <w:r>
              <w:rPr>
                <w:b w:val="0"/>
                <w:sz w:val="18"/>
              </w:rPr>
              <w:t>Линолеум поливинилхлоридный коммерческий гетерогенный, класс 33 или 34, ГОСТ 7251-2016. Количество с запасом на раскрой: 73 × 1,04</w:t>
            </w:r>
          </w:p>
        </w:tc>
        <w:tc>
          <w:tcPr>
            <w:tcW w:w="2480" w:type="dxa"/>
          </w:tcPr>
          <w:p w14:paraId="3C99C1C9">
            <w:pPr>
              <w:spacing w:before="60" w:after="60"/>
            </w:pPr>
            <w:r>
              <w:rPr>
                <w:b w:val="0"/>
                <w:sz w:val="18"/>
              </w:rPr>
              <w:t>м2</w:t>
            </w:r>
          </w:p>
        </w:tc>
        <w:tc>
          <w:tcPr>
            <w:tcW w:w="2480" w:type="dxa"/>
          </w:tcPr>
          <w:p w14:paraId="2B09CE70">
            <w:pPr>
              <w:spacing w:before="60" w:after="60"/>
            </w:pPr>
            <w:r>
              <w:rPr>
                <w:b w:val="0"/>
                <w:sz w:val="18"/>
              </w:rPr>
              <w:t>75,92</w:t>
            </w:r>
          </w:p>
        </w:tc>
      </w:tr>
      <w:tr w14:paraId="222F9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208F7AEC">
            <w:pPr>
              <w:spacing w:before="60" w:after="60"/>
            </w:pPr>
            <w:r>
              <w:rPr>
                <w:b w:val="0"/>
                <w:sz w:val="18"/>
              </w:rPr>
              <w:t>13</w:t>
            </w:r>
          </w:p>
        </w:tc>
        <w:tc>
          <w:tcPr>
            <w:tcW w:w="4372" w:type="dxa"/>
          </w:tcPr>
          <w:p w14:paraId="32154ED3">
            <w:pPr>
              <w:spacing w:before="60" w:after="60"/>
            </w:pPr>
            <w:r>
              <w:rPr>
                <w:b w:val="0"/>
                <w:sz w:val="18"/>
              </w:rPr>
              <w:t>Устройство конструкций обшивки стен гипсоакриловыми панелями на одинарном каркасе из оцинкованных профилей</w:t>
            </w:r>
          </w:p>
        </w:tc>
        <w:tc>
          <w:tcPr>
            <w:tcW w:w="2480" w:type="dxa"/>
          </w:tcPr>
          <w:p w14:paraId="175BEC04">
            <w:pPr>
              <w:spacing w:before="60" w:after="60"/>
            </w:pPr>
            <w:r>
              <w:rPr>
                <w:b w:val="0"/>
                <w:sz w:val="18"/>
              </w:rPr>
              <w:t>м2 стен</w:t>
            </w:r>
          </w:p>
        </w:tc>
        <w:tc>
          <w:tcPr>
            <w:tcW w:w="2480" w:type="dxa"/>
          </w:tcPr>
          <w:p w14:paraId="167AA66C">
            <w:pPr>
              <w:spacing w:before="60" w:after="60"/>
            </w:pPr>
            <w:r>
              <w:rPr>
                <w:b w:val="0"/>
                <w:sz w:val="18"/>
              </w:rPr>
              <w:t>102</w:t>
            </w:r>
          </w:p>
        </w:tc>
      </w:tr>
      <w:tr w14:paraId="10401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0722BD4C">
            <w:pPr>
              <w:spacing w:before="60" w:after="60"/>
            </w:pPr>
            <w:r>
              <w:rPr>
                <w:b w:val="0"/>
                <w:sz w:val="18"/>
              </w:rPr>
              <w:t>14</w:t>
            </w:r>
          </w:p>
        </w:tc>
        <w:tc>
          <w:tcPr>
            <w:tcW w:w="4372" w:type="dxa"/>
          </w:tcPr>
          <w:p w14:paraId="5BEE1E2C">
            <w:pPr>
              <w:spacing w:before="60" w:after="60"/>
            </w:pPr>
            <w:r>
              <w:rPr>
                <w:b w:val="0"/>
                <w:sz w:val="18"/>
              </w:rPr>
              <w:t>Панель стеновая декоративная гипсоакриловая</w:t>
            </w:r>
          </w:p>
        </w:tc>
        <w:tc>
          <w:tcPr>
            <w:tcW w:w="2480" w:type="dxa"/>
          </w:tcPr>
          <w:p w14:paraId="77143E77">
            <w:pPr>
              <w:spacing w:before="60" w:after="60"/>
            </w:pPr>
            <w:r>
              <w:rPr>
                <w:b w:val="0"/>
                <w:sz w:val="18"/>
              </w:rPr>
              <w:t>м2</w:t>
            </w:r>
          </w:p>
        </w:tc>
        <w:tc>
          <w:tcPr>
            <w:tcW w:w="2480" w:type="dxa"/>
          </w:tcPr>
          <w:p w14:paraId="4F9A5AF6">
            <w:pPr>
              <w:spacing w:before="60" w:after="60"/>
            </w:pPr>
            <w:r>
              <w:rPr>
                <w:b w:val="0"/>
                <w:sz w:val="18"/>
              </w:rPr>
              <w:t>102</w:t>
            </w:r>
          </w:p>
        </w:tc>
      </w:tr>
      <w:tr w14:paraId="689DF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4DB84D4">
            <w:pPr>
              <w:spacing w:before="60" w:after="60"/>
            </w:pPr>
            <w:r>
              <w:rPr>
                <w:b w:val="0"/>
                <w:sz w:val="18"/>
              </w:rPr>
              <w:t>15</w:t>
            </w:r>
          </w:p>
        </w:tc>
        <w:tc>
          <w:tcPr>
            <w:tcW w:w="4372" w:type="dxa"/>
          </w:tcPr>
          <w:p w14:paraId="30C09CB1">
            <w:pPr>
              <w:spacing w:before="60" w:after="60"/>
            </w:pPr>
            <w:r>
              <w:rPr>
                <w:b w:val="0"/>
                <w:sz w:val="18"/>
              </w:rPr>
              <w:t>Установка галтелей (карнизов) из пенополистирола (или пенополиуретана) до 160 мм</w:t>
            </w:r>
          </w:p>
        </w:tc>
        <w:tc>
          <w:tcPr>
            <w:tcW w:w="2480" w:type="dxa"/>
          </w:tcPr>
          <w:p w14:paraId="763E18E0">
            <w:pPr>
              <w:spacing w:before="60" w:after="60"/>
            </w:pPr>
            <w:r>
              <w:rPr>
                <w:b w:val="0"/>
                <w:sz w:val="18"/>
              </w:rPr>
              <w:t>м карниза (галтели)</w:t>
            </w:r>
          </w:p>
        </w:tc>
        <w:tc>
          <w:tcPr>
            <w:tcW w:w="2480" w:type="dxa"/>
          </w:tcPr>
          <w:p w14:paraId="3E7CE5AA">
            <w:pPr>
              <w:spacing w:before="60" w:after="60"/>
            </w:pPr>
            <w:r>
              <w:rPr>
                <w:b w:val="0"/>
                <w:sz w:val="18"/>
              </w:rPr>
              <w:t>37</w:t>
            </w:r>
          </w:p>
        </w:tc>
      </w:tr>
      <w:tr w14:paraId="6E9E3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0F1237BE">
            <w:pPr>
              <w:spacing w:before="60" w:after="60"/>
            </w:pPr>
            <w:r>
              <w:rPr>
                <w:b w:val="0"/>
                <w:sz w:val="18"/>
              </w:rPr>
              <w:t>16</w:t>
            </w:r>
          </w:p>
        </w:tc>
        <w:tc>
          <w:tcPr>
            <w:tcW w:w="4372" w:type="dxa"/>
          </w:tcPr>
          <w:p w14:paraId="7A832B15">
            <w:pPr>
              <w:spacing w:before="60" w:after="60"/>
            </w:pPr>
            <w:r>
              <w:rPr>
                <w:b w:val="0"/>
                <w:sz w:val="18"/>
              </w:rPr>
              <w:t>Установка светильника светодиодного местного освещения</w:t>
            </w:r>
          </w:p>
        </w:tc>
        <w:tc>
          <w:tcPr>
            <w:tcW w:w="2480" w:type="dxa"/>
          </w:tcPr>
          <w:p w14:paraId="04BE19B1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4E0BF67B">
            <w:pPr>
              <w:spacing w:before="60" w:after="60"/>
            </w:pPr>
            <w:r>
              <w:rPr>
                <w:b w:val="0"/>
                <w:sz w:val="18"/>
              </w:rPr>
              <w:t>6</w:t>
            </w:r>
          </w:p>
        </w:tc>
      </w:tr>
      <w:tr w14:paraId="376C3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BC300DE">
            <w:pPr>
              <w:spacing w:before="60" w:after="60"/>
            </w:pPr>
            <w:r>
              <w:rPr>
                <w:b w:val="0"/>
                <w:sz w:val="18"/>
              </w:rPr>
              <w:t>17</w:t>
            </w:r>
          </w:p>
        </w:tc>
        <w:tc>
          <w:tcPr>
            <w:tcW w:w="4372" w:type="dxa"/>
          </w:tcPr>
          <w:p w14:paraId="6FF0CBB7">
            <w:pPr>
              <w:spacing w:before="60" w:after="60"/>
            </w:pPr>
            <w:r>
              <w:rPr>
                <w:b w:val="0"/>
                <w:sz w:val="18"/>
              </w:rPr>
              <w:t>Светильник светодиодный офисный мощность 58 Вт, степень защиты IP 40</w:t>
            </w:r>
          </w:p>
        </w:tc>
        <w:tc>
          <w:tcPr>
            <w:tcW w:w="2480" w:type="dxa"/>
          </w:tcPr>
          <w:p w14:paraId="7D239512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11795BEB">
            <w:pPr>
              <w:spacing w:before="60" w:after="60"/>
            </w:pPr>
            <w:r>
              <w:rPr>
                <w:b w:val="0"/>
                <w:sz w:val="18"/>
              </w:rPr>
              <w:t>6</w:t>
            </w:r>
          </w:p>
        </w:tc>
      </w:tr>
      <w:tr w14:paraId="29085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7316AB2">
            <w:pPr>
              <w:spacing w:before="60" w:after="60"/>
            </w:pPr>
            <w:r>
              <w:rPr>
                <w:b w:val="0"/>
                <w:sz w:val="18"/>
              </w:rPr>
              <w:t>18</w:t>
            </w:r>
          </w:p>
        </w:tc>
        <w:tc>
          <w:tcPr>
            <w:tcW w:w="4372" w:type="dxa"/>
          </w:tcPr>
          <w:p w14:paraId="05A28EE8">
            <w:pPr>
              <w:spacing w:before="60" w:after="60"/>
            </w:pPr>
            <w:r>
              <w:rPr>
                <w:b w:val="0"/>
                <w:sz w:val="18"/>
              </w:rPr>
              <w:t>Шкаф стеллаж купе для игрушек и пособий, ЛДСП 16 мм, размеры стиль и цвет согласовать с Заказчиком</w:t>
            </w:r>
          </w:p>
        </w:tc>
        <w:tc>
          <w:tcPr>
            <w:tcW w:w="2480" w:type="dxa"/>
          </w:tcPr>
          <w:p w14:paraId="76601530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41A67F42">
            <w:pPr>
              <w:spacing w:before="60" w:after="60"/>
            </w:pPr>
            <w:r>
              <w:rPr>
                <w:b w:val="0"/>
                <w:sz w:val="18"/>
              </w:rPr>
              <w:t>1</w:t>
            </w:r>
          </w:p>
        </w:tc>
      </w:tr>
      <w:tr w14:paraId="7A367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755B44C">
            <w:pPr>
              <w:spacing w:before="60" w:after="60"/>
            </w:pPr>
            <w:r>
              <w:rPr>
                <w:b w:val="0"/>
                <w:sz w:val="18"/>
              </w:rPr>
              <w:t>19</w:t>
            </w:r>
          </w:p>
        </w:tc>
        <w:tc>
          <w:tcPr>
            <w:tcW w:w="4372" w:type="dxa"/>
          </w:tcPr>
          <w:p w14:paraId="5E496FBA">
            <w:pPr>
              <w:spacing w:before="60" w:after="60"/>
            </w:pPr>
            <w:r>
              <w:rPr>
                <w:b w:val="0"/>
                <w:sz w:val="18"/>
              </w:rPr>
              <w:t>Шведская стенка деревянная стандарт (доска 40х140мм) до 260см высота, согласовать с Заказчиком</w:t>
            </w:r>
          </w:p>
        </w:tc>
        <w:tc>
          <w:tcPr>
            <w:tcW w:w="2480" w:type="dxa"/>
          </w:tcPr>
          <w:p w14:paraId="3B7C3619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7A2CB6BA">
            <w:pPr>
              <w:spacing w:before="60" w:after="60"/>
            </w:pPr>
            <w:r>
              <w:rPr>
                <w:b w:val="0"/>
                <w:sz w:val="18"/>
              </w:rPr>
              <w:t>2</w:t>
            </w:r>
          </w:p>
        </w:tc>
      </w:tr>
      <w:tr w14:paraId="3FEF1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BB73746">
            <w:pPr>
              <w:spacing w:before="60" w:after="60"/>
            </w:pPr>
            <w:r>
              <w:rPr>
                <w:b w:val="0"/>
                <w:sz w:val="18"/>
              </w:rPr>
              <w:t>20</w:t>
            </w:r>
          </w:p>
        </w:tc>
        <w:tc>
          <w:tcPr>
            <w:tcW w:w="4372" w:type="dxa"/>
          </w:tcPr>
          <w:p w14:paraId="3F88C7AC">
            <w:pPr>
              <w:spacing w:before="60" w:after="60"/>
            </w:pPr>
            <w:r>
              <w:rPr>
                <w:b w:val="0"/>
                <w:sz w:val="18"/>
              </w:rPr>
              <w:t>Стеллажи модульные для хранения спортивного инвентаря с мягким элементом, размер, вид и стиль согласовать с Заказчиком</w:t>
            </w:r>
          </w:p>
        </w:tc>
        <w:tc>
          <w:tcPr>
            <w:tcW w:w="2480" w:type="dxa"/>
          </w:tcPr>
          <w:p w14:paraId="74A95755">
            <w:pPr>
              <w:spacing w:before="60" w:after="60"/>
            </w:pPr>
            <w:r>
              <w:rPr>
                <w:b w:val="0"/>
                <w:sz w:val="18"/>
              </w:rPr>
              <w:t>шт.</w:t>
            </w:r>
          </w:p>
        </w:tc>
        <w:tc>
          <w:tcPr>
            <w:tcW w:w="2480" w:type="dxa"/>
          </w:tcPr>
          <w:p w14:paraId="36D8F47A">
            <w:pPr>
              <w:spacing w:before="60" w:after="60"/>
            </w:pPr>
            <w:r>
              <w:rPr>
                <w:b w:val="0"/>
                <w:sz w:val="18"/>
              </w:rPr>
              <w:t>3</w:t>
            </w:r>
          </w:p>
        </w:tc>
      </w:tr>
      <w:tr w14:paraId="16EA1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EDBEC5D">
            <w:pPr>
              <w:spacing w:before="60" w:after="60"/>
            </w:pPr>
            <w:r>
              <w:rPr>
                <w:b w:val="0"/>
                <w:sz w:val="18"/>
              </w:rPr>
              <w:t>21</w:t>
            </w:r>
          </w:p>
        </w:tc>
        <w:tc>
          <w:tcPr>
            <w:tcW w:w="4372" w:type="dxa"/>
          </w:tcPr>
          <w:p w14:paraId="454DE661">
            <w:pPr>
              <w:spacing w:before="60" w:after="60"/>
            </w:pPr>
            <w:r>
              <w:rPr>
                <w:b w:val="0"/>
                <w:sz w:val="18"/>
              </w:rPr>
              <w:t>Помещения. Очистка от строительного мусора</w:t>
            </w:r>
          </w:p>
        </w:tc>
        <w:tc>
          <w:tcPr>
            <w:tcW w:w="2480" w:type="dxa"/>
          </w:tcPr>
          <w:p w14:paraId="428B8BFF">
            <w:pPr>
              <w:spacing w:before="60" w:after="60"/>
            </w:pPr>
            <w:r>
              <w:rPr>
                <w:b w:val="0"/>
                <w:sz w:val="18"/>
              </w:rPr>
              <w:t>т</w:t>
            </w:r>
          </w:p>
        </w:tc>
        <w:tc>
          <w:tcPr>
            <w:tcW w:w="2480" w:type="dxa"/>
          </w:tcPr>
          <w:p w14:paraId="2FD70CDE">
            <w:pPr>
              <w:spacing w:before="60" w:after="60"/>
            </w:pPr>
            <w:r>
              <w:rPr>
                <w:b w:val="0"/>
                <w:sz w:val="18"/>
              </w:rPr>
              <w:t>5</w:t>
            </w:r>
          </w:p>
        </w:tc>
      </w:tr>
      <w:tr w14:paraId="34FE6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49CB047">
            <w:pPr>
              <w:spacing w:before="60" w:after="60"/>
            </w:pPr>
            <w:r>
              <w:rPr>
                <w:b w:val="0"/>
                <w:sz w:val="18"/>
              </w:rPr>
              <w:t>22</w:t>
            </w:r>
          </w:p>
        </w:tc>
        <w:tc>
          <w:tcPr>
            <w:tcW w:w="4372" w:type="dxa"/>
          </w:tcPr>
          <w:p w14:paraId="15837F59">
            <w:pPr>
              <w:spacing w:before="60" w:after="60"/>
            </w:pPr>
            <w:r>
              <w:rPr>
                <w:b w:val="0"/>
                <w:sz w:val="18"/>
              </w:rPr>
              <w:t>Мусор строительный (ручная). Погрузка</w:t>
            </w:r>
          </w:p>
        </w:tc>
        <w:tc>
          <w:tcPr>
            <w:tcW w:w="2480" w:type="dxa"/>
          </w:tcPr>
          <w:p w14:paraId="7CCEE372">
            <w:pPr>
              <w:spacing w:before="60" w:after="60"/>
            </w:pPr>
            <w:r>
              <w:rPr>
                <w:b w:val="0"/>
                <w:sz w:val="18"/>
              </w:rPr>
              <w:t>т</w:t>
            </w:r>
          </w:p>
        </w:tc>
        <w:tc>
          <w:tcPr>
            <w:tcW w:w="2480" w:type="dxa"/>
          </w:tcPr>
          <w:p w14:paraId="463B5D4D">
            <w:pPr>
              <w:spacing w:before="60" w:after="60"/>
            </w:pPr>
            <w:r>
              <w:rPr>
                <w:b w:val="0"/>
                <w:sz w:val="18"/>
              </w:rPr>
              <w:t>5</w:t>
            </w:r>
          </w:p>
        </w:tc>
      </w:tr>
      <w:tr w14:paraId="3DBAE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81A5156">
            <w:pPr>
              <w:spacing w:before="60" w:after="60"/>
            </w:pPr>
            <w:r>
              <w:rPr>
                <w:b w:val="0"/>
                <w:sz w:val="18"/>
              </w:rPr>
              <w:t>23</w:t>
            </w:r>
          </w:p>
        </w:tc>
        <w:tc>
          <w:tcPr>
            <w:tcW w:w="4372" w:type="dxa"/>
          </w:tcPr>
          <w:p w14:paraId="12AF2001">
            <w:pPr>
              <w:spacing w:before="60" w:after="60"/>
            </w:pPr>
            <w:r>
              <w:rPr>
                <w:b w:val="0"/>
                <w:sz w:val="18"/>
              </w:rPr>
              <w:t>Вывоз строительного мусора самосвалами грузоподъемностью свыше 5 до 10 т на расстояние 15 км</w:t>
            </w:r>
          </w:p>
        </w:tc>
        <w:tc>
          <w:tcPr>
            <w:tcW w:w="2480" w:type="dxa"/>
          </w:tcPr>
          <w:p w14:paraId="36053021">
            <w:pPr>
              <w:spacing w:before="60" w:after="60"/>
            </w:pPr>
            <w:r>
              <w:rPr>
                <w:b w:val="0"/>
                <w:sz w:val="18"/>
              </w:rPr>
              <w:t>т·км*</w:t>
            </w:r>
          </w:p>
        </w:tc>
        <w:tc>
          <w:tcPr>
            <w:tcW w:w="2480" w:type="dxa"/>
          </w:tcPr>
          <w:p w14:paraId="15AD2CAE">
            <w:pPr>
              <w:spacing w:before="60" w:after="60"/>
            </w:pPr>
            <w:r>
              <w:rPr>
                <w:b w:val="0"/>
                <w:sz w:val="18"/>
              </w:rPr>
              <w:t>5</w:t>
            </w:r>
          </w:p>
        </w:tc>
      </w:tr>
    </w:tbl>
    <w:p w14:paraId="4CF9CB8F">
      <w:r>
        <w:t>* Единица «м² полка» для лестницы и значение перевозки 5 т·км сохранены из дефектного акта. Перед размещением закупки заказчик уточняет эти показатели в ведомости объемов. При расчете перевозки по транспортной работе 5 т × 15 км составляют 75 т·км.</w:t>
      </w:r>
    </w:p>
    <w:p w14:paraId="4CD5835E">
      <w:pPr>
        <w:pStyle w:val="2"/>
      </w:pPr>
      <w:r>
        <w:t>3 Требования к материалам и выполнению работ</w:t>
      </w:r>
    </w:p>
    <w:p w14:paraId="40742B7D">
      <w:r>
        <w:rPr>
          <w:b/>
        </w:rPr>
        <w:t xml:space="preserve">Двери. </w:t>
      </w:r>
      <w:r>
        <w:t>Внутренние деревянные однопольные дверные блоки с глухими полотнами и облицовкой натуральным шпоном лиственных пород, общей площадью 3,2 м². Комплект: замки, ручки, навесы, наличники и доборные элементы. Крепление — распорными дюбелями. Обеспечить надежность закрепления, свободное открывание и закрывание, исправность фурнитуры. Размеры проемов проверить перед изготовлением.</w:t>
      </w:r>
    </w:p>
    <w:p w14:paraId="14835D19">
      <w:r>
        <w:rPr>
          <w:b/>
        </w:rPr>
        <w:t xml:space="preserve">Сцена и лестница. </w:t>
      </w:r>
      <w:r>
        <w:t>Деревянная сцена площадью покрытия 11,1 м², дощатый настил толщиной 36 мм, выдвижные ящики для хранения; частичная обшивка досками — 2,5 м²; деревянная лестница — объем по разделу 2. Конструкция должна быть устойчивой, крепления надежными, поверхности без заноз и выступающих острых элементов. Металлические уголки — ширина не менее 40 мм, золотистый цвет, длина 11 м.</w:t>
      </w:r>
    </w:p>
    <w:p w14:paraId="52784DB8">
      <w:r>
        <w:rPr>
          <w:b/>
        </w:rPr>
        <w:t xml:space="preserve">Напольное покрытие. </w:t>
      </w:r>
      <w:r>
        <w:t>Укладка линолеума на клее в зале и на сцене с учетом лестницы — 73 м². Материал — коммерческий гетерогенный ПВХ линолеум класса 33 или 34, поставка 75,92 м² с учетом запаса. Основание подготовить по технологии изготовителя. Не допускаются пузыри, отслоения и открытые кромки. ПВХ плинтус — 37 м, крепление самонарезающими винтами.</w:t>
      </w:r>
    </w:p>
    <w:p w14:paraId="7A3D0CCD">
      <w:r>
        <w:rPr>
          <w:b/>
        </w:rPr>
        <w:t xml:space="preserve">Стены и карнизы. </w:t>
      </w:r>
      <w:r>
        <w:t>Облицовка стен декоративными гипсоакриловыми панелями на одинарном каркасе из оцинкованных профилей — 102 м². По ресурсной смете: направляющий профиль 28 × 27 мм, профиль ПП 60 × 27 мм, толщина стали 0,4–0,45 мм. Панели закрепить без перекосов и повреждений, стыки оформить по технологии системы. Карнизы из пенополистирола или пенополиуретана шириной до 160 мм — 37 м.</w:t>
      </w:r>
    </w:p>
    <w:p w14:paraId="42712E5E">
      <w:r>
        <w:rPr>
          <w:b/>
        </w:rPr>
        <w:t xml:space="preserve">Освещение. </w:t>
      </w:r>
      <w:r>
        <w:t>Демонтировать 6 существующих светильников для люминесцентных ламп и установить 6 офисных светодиодных светильников мощностью 58 Вт, степень защиты IP40. Работы выполнять при отключенном питании. Обеспечить надежное крепление, безопасные электрические соединения и проверку включения каждого светильника.</w:t>
      </w:r>
    </w:p>
    <w:p w14:paraId="1DD3DEC7">
      <w:r>
        <w:rPr>
          <w:b/>
        </w:rPr>
        <w:t xml:space="preserve">Мебель. </w:t>
      </w:r>
      <w:r>
        <w:t>Шкаф-стеллаж купе для игрушек и пособий — 1 шт., ЛДСП толщиной 16 мм. Модульные стеллажи для спортивного инвентаря с мягким элементом — 3 шт. Изделия поставить собранными и установить; кромки закрыть, фурнитура должна работать исправно. Исключить неустойчивость и доступные острые крепления.</w:t>
      </w:r>
    </w:p>
    <w:p w14:paraId="62B92720">
      <w:r>
        <w:rPr>
          <w:b/>
        </w:rPr>
        <w:t xml:space="preserve">Спортивное оборудование. </w:t>
      </w:r>
      <w:r>
        <w:t>Деревянные шведские стенки — 2 шт., доска 40 × 140 мм, высота до 260 см. Обеспечить надежное крепление к основанию по инструкции изготовителя. Деревянные элементы без трещин и заноз. Перед приемкой проверить устойчивость и целостность креплений.</w:t>
      </w:r>
    </w:p>
    <w:p w14:paraId="5434A9BB">
      <w:r>
        <w:rPr>
          <w:b/>
        </w:rPr>
        <w:t xml:space="preserve">Материалы. </w:t>
      </w:r>
      <w:r>
        <w:t>Все устанавливаемые материалы и оборудование должны быть новыми, без повреждений, пригодными для использования в помещении дошкольной организации. Клеи и отделочные материалы применять в соответствии с инструкциями изготовителей. Документы о качестве и соответствии представить при сдаче работ в случаях, предусмотренных применимыми техническими регламентами.</w:t>
      </w:r>
    </w:p>
    <w:p w14:paraId="3C841569">
      <w:r>
        <w:rPr>
          <w:b/>
        </w:rPr>
        <w:t xml:space="preserve">Стандарты. </w:t>
      </w:r>
      <w:r>
        <w:t>Для дверных блоков в исходной документации указан СТ РК 943-92; для линолеума — ГОСТ 7251-2016; для оцинкованных профилей — СТ РК 2621-2015; для ПВХ плинтуса — ГОСТ 19111-2001. Применять требования действующих в Республике Казахстан стандартов и технических регламентов, относящихся к соответствующему материалу или изделию.</w:t>
      </w:r>
    </w:p>
    <w:p w14:paraId="655B8515">
      <w:pPr>
        <w:pStyle w:val="2"/>
      </w:pPr>
      <w:r>
        <w:t>4 Организация и безопасность работ</w:t>
      </w:r>
    </w:p>
    <w:p w14:paraId="48466067">
      <w:r>
        <w:t>До начала ремонта подрядчик согласовывает с заказчиком последовательность работ, режим доступа и график шумных операций с учетом работы детского сада. Зону ремонта ограждают от доступа детей и посторонних лиц; проходы и пути эвакуации сохраняют свободными.</w:t>
      </w:r>
    </w:p>
    <w:p w14:paraId="1E5F8E18">
      <w:r>
        <w:t>Подрядчик обеспечивает защиту существующих конструкций, имущества и инженерных коммуникаций от повреждений, ограничивает распространение пыли, соблюдает требования охраны труда, пожарной и электрической безопасности. Повреждения, возникшие по вине подрядчика, устраняются за его счет.</w:t>
      </w:r>
    </w:p>
    <w:p w14:paraId="130D9EA7">
      <w:r>
        <w:t>Подрядчик обеспечивает доставку, разгрузку, хранение, сборку и установку предусмотренных изделий, необходимые крепежные и расходные материалы, инструмент и механизмы.</w:t>
      </w:r>
    </w:p>
    <w:p w14:paraId="65CCA3A8">
      <w:r>
        <w:t>Строительный мусор собирают и удаляют из помещения. Предусмотренные дефектным актом очистка и погрузка — по 5 т. Вывоз выполняют в место, допускающее прием соответствующих отходов; демонтированные люминесцентные лампы при наличии ртути собирают отдельно и передают для надлежащего обращения.</w:t>
      </w:r>
    </w:p>
    <w:p w14:paraId="1010F54B">
      <w:r>
        <w:t>После завершения работ подрядчик очищает помещение и установленные изделия, удаляет упаковку, остатки материалов и мусор, передает зал готовым к эксплуатации.</w:t>
      </w:r>
    </w:p>
    <w:p w14:paraId="735A5CD4">
      <w:pPr>
        <w:pStyle w:val="2"/>
      </w:pPr>
      <w:r>
        <w:t>5 Контроль качества и приемка</w:t>
      </w:r>
    </w:p>
    <w:p w14:paraId="75987EDD">
      <w:r>
        <w:t>Заказчик проверяет фактические объемы работ, комплектность поставок и соответствие характеристикам разделов 2 и 3. Работы, закрываемые последующими конструкциями, предъявляются заказчику до их закрытия с оформлением актов, когда такое оформление требуется.</w:t>
      </w:r>
    </w:p>
    <w:p w14:paraId="6E1DB4D3">
      <w:r>
        <w:t>При приемке проверяются работа дверей и фурнитуры, качество напольного покрытия и облицовки стен, устойчивость сцены, лестницы, мебели и шведских стенок, а также работа всех шести светильников. Выявленные недостатки фиксируются и устраняются подрядчиком до окончательной приемки.</w:t>
      </w:r>
    </w:p>
    <w:p w14:paraId="6AA737D1">
      <w:r>
        <w:t>Подрядчик передает акт выполненных работ с расшифровкой объемов, документы о качестве материалов и оборудования, предусмотренные законодательством, инструкции и гарантийные документы на изделия, а также акты освидетельствования скрытых работ и документы проверок, если они необходимы для выполненного объема.</w:t>
      </w:r>
    </w:p>
    <w:p w14:paraId="540ABE41">
      <w:r>
        <w:t>В течение установленного гарантийного срока подрядчик за свой счет устраняет дефекты, возникшие вследствие ненадлежащего выполнения работ или применения некачественных материалов. Порядок предъявления требований и сроки устранения определяются договором.</w:t>
      </w:r>
    </w:p>
    <w:p w14:paraId="5D4DA24A">
      <w:r>
        <w:t>Согласование внешнего вида при исполнении договора допускается в пределах опубликованных характеристик без изменения объемов и функционального назначения изделий.</w:t>
      </w:r>
    </w:p>
    <w:sectPr>
      <w:pgSz w:w="11906" w:h="16838"/>
      <w:pgMar w:top="907" w:right="850" w:bottom="907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85E0B6D"/>
    <w:rsid w:val="797A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259" w:lineRule="auto"/>
    </w:pPr>
    <w:rPr>
      <w:rFonts w:ascii="Arial" w:hAnsi="Arial" w:eastAsiaTheme="minorEastAsia" w:cstheme="minorBidi"/>
      <w:color w:val="000000"/>
      <w:sz w:val="20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120"/>
      <w:outlineLvl w:val="0"/>
    </w:pPr>
    <w:rPr>
      <w:rFonts w:asciiTheme="majorHAnsi" w:hAnsiTheme="majorHAnsi" w:eastAsiaTheme="majorEastAsia" w:cstheme="majorBidi"/>
      <w:b/>
      <w:bCs/>
      <w:color w:val="000000"/>
      <w:sz w:val="24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120"/>
      <w:outlineLvl w:val="1"/>
    </w:pPr>
    <w:rPr>
      <w:rFonts w:asciiTheme="majorHAnsi" w:hAnsiTheme="majorHAnsi" w:eastAsiaTheme="majorEastAsia" w:cstheme="majorBidi"/>
      <w:b/>
      <w:bCs/>
      <w:color w:val="000000"/>
      <w:sz w:val="24"/>
      <w:szCs w:val="26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120" w:line="240" w:lineRule="auto"/>
      <w:contextualSpacing/>
    </w:pPr>
    <w:rPr>
      <w:rFonts w:asciiTheme="majorHAnsi" w:hAnsiTheme="majorHAnsi" w:eastAsiaTheme="majorEastAsia" w:cstheme="majorBidi"/>
      <w:color w:val="000000"/>
      <w:spacing w:val="5"/>
      <w:kern w:val="28"/>
      <w:sz w:val="34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uiPriority w:val="99"/>
  </w:style>
  <w:style w:type="character" w:customStyle="1" w:styleId="47">
    <w:name w:val="Body Text 2 Char"/>
    <w:basedOn w:val="11"/>
    <w:link w:val="16"/>
    <w:uiPriority w:val="99"/>
  </w:style>
  <w:style w:type="character" w:customStyle="1" w:styleId="48">
    <w:name w:val="Body Text 3 Char"/>
    <w:basedOn w:val="11"/>
    <w:link w:val="30"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1427</Words>
  <Characters>9036</Characters>
  <Lines>0</Lines>
  <Paragraphs>0</Paragraphs>
  <TotalTime>3</TotalTime>
  <ScaleCrop>false</ScaleCrop>
  <LinksUpToDate>false</LinksUpToDate>
  <CharactersWithSpaces>10302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User</dc:creator>
  <dc:description>generated by python-docx</dc:description>
  <cp:lastModifiedBy>User</cp:lastModifiedBy>
  <dcterms:modified xsi:type="dcterms:W3CDTF">2026-10-06T17:16:25Z</dcterms:modified>
  <dc:title>Техническая спецификация текущего ремонта музыкального зала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eyJoZGlkIjoiNTk4NjM3NGQ5MDUxNzljZWNjNzIxOTI1NmRlMGY4Y2IifQ==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C116CCD3C3634A5AB3123E86D6C0C425_13</vt:lpwstr>
  </property>
</Properties>
</file>