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widowControl/>
      </w:pPr>
      <w:r>
        <w:t>Техническая спецификация на замену наружного трубопровода теплотрассы</w:t>
      </w:r>
    </w:p>
    <w:p>
      <w:pPr>
        <w:widowControl/>
      </w:pPr>
      <w:r>
        <w:t>Объект: здание «Высшего технического колледжа» по адресу: ул. Тараса Шевченко, 127. Работы выполняются на участке от точки подключения до теплового узла здания.</w:t>
      </w:r>
    </w:p>
    <w:p>
      <w:pPr>
        <w:widowControl/>
      </w:pPr>
      <w:r>
        <w:t>Заказчик и эксплуатирующая организация — Высший технический колледж. В настоящей спецификации используется единое обозначение «Заказчик».</w:t>
      </w:r>
    </w:p>
    <w:p>
      <w:pPr>
        <w:pStyle w:val="Heading1"/>
        <w:widowControl/>
      </w:pPr>
      <w:r>
        <w:t>1 Состав и объем работ</w:t>
      </w:r>
    </w:p>
    <w:tbl>
      <w:tblPr>
        <w:tblW w:type="auto" w:w="0"/>
        <w:jc w:val="center"/>
        <w:tblLayout w:type="fixed"/>
        <w:tblLook w:firstColumn="1" w:firstRow="1" w:lastColumn="0" w:lastRow="0" w:noHBand="0" w:noVBand="1" w:val="04A0"/>
      </w:tblPr>
      <w:tblGrid>
        <w:gridCol w:w="504"/>
        <w:gridCol w:w="7704"/>
        <w:gridCol w:w="1872"/>
      </w:tblGrid>
      <w:tr>
        <w:trPr>
          <w:cantSplit/>
          <w:tblHeader/>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shd w:fill="E7E6E6"/>
          </w:tcPr>
          <w:p>
            <w:pPr>
              <w:spacing w:after="40" w:line="240" w:lineRule="auto"/>
              <w:jc w:val="center"/>
            </w:pPr>
            <w:r>
              <w:rPr>
                <w:b/>
                <w:sz w:val="22"/>
              </w:rPr>
              <w:t>№</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shd w:fill="E7E6E6"/>
          </w:tcPr>
          <w:p>
            <w:pPr>
              <w:spacing w:after="40" w:line="240" w:lineRule="auto"/>
            </w:pPr>
            <w:r>
              <w:rPr>
                <w:b/>
                <w:sz w:val="22"/>
              </w:rPr>
              <w:t>Наименование работ</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shd w:fill="E7E6E6"/>
          </w:tcPr>
          <w:p>
            <w:pPr>
              <w:spacing w:after="40" w:line="240" w:lineRule="auto"/>
              <w:jc w:val="center"/>
            </w:pPr>
            <w:r>
              <w:rPr>
                <w:b/>
                <w:sz w:val="22"/>
              </w:rPr>
              <w:t>Объем</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1</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Разработка грунта механизированным способом на глубину до 1 м, до плит перекрытия лотка. Вблизи действующих коммуникаций — ручная разработка. Демонтаж и последующий монтаж плит перекрытия лотка.</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По ведомости объемов</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2</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Демонтаж существующего наружного стального трубопровода с наружным диаметром 89 мм.</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24 м</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3</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Поставка и монтаж нового стального трубопровода с наружным диаметром 89 мм в заводской пенополиуретановой изоляции с защитной оболочкой.</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24 м</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4</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Демонтаж существующей и монтаж новой фланцевой запорной арматуры DN 80, в проекте спецификации — шаровых кранов.</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3 шт.</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5</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Демонтаж существующих и монтаж новых ответных фланцев DN 80 с комплектами крепежа и термостойкими прокладками.</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6 шт.</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6</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Демонтаж существующих и монтаж новых стальных отводов DN 80, совместимых с трубой наружным диаметром 89 мм.</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6 шт.</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7</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Сварка, контроль соединений, теплоизоляция и герметизация всех стыков и фасонных элементов; подключение к существующей сети и тепловому узлу.</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Весь участок</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8</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Промывка, гидравлические испытания, заполнение, удаление воздуха и проверка работоспособности замененного участка.</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Весь участок</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9</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Обратная засыпка с послойным уплотнением, восстановление нарушенного благоустройства, уборка и вывоз строительных отходов.</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По ведомости объемов</w:t>
            </w:r>
          </w:p>
        </w:tc>
      </w:tr>
    </w:tbl>
    <w:p>
      <w:pPr>
        <w:widowControl/>
      </w:pPr>
      <w:r>
        <w:t>Примечание: 24 м приведены по исходным данным. До закупки Заказчик уточняет распределение длины по подающему и обратному трубопроводам и утверждает ведомость объемов работ.</w:t>
      </w:r>
    </w:p>
    <w:p>
      <w:pPr>
        <w:pStyle w:val="Heading1"/>
        <w:widowControl/>
      </w:pPr>
      <w:r>
        <w:t>2 Требования к материалам и монтажу</w:t>
      </w:r>
    </w:p>
    <w:p>
      <w:pPr>
        <w:widowControl/>
      </w:pPr>
      <w:r>
        <w:t>Все поставляемые трубы, арматура, фланцы, отводы, крепеж и изоляционные материалы должны быть новыми, не бывшими в эксплуатации, без повреждений и пригодными для установленных параметров теплоносителя. Подрядчик предоставляет паспорта качества и документы о соответствии, предусмотренные для соответствующей продукции.</w:t>
      </w:r>
    </w:p>
    <w:p>
      <w:pPr>
        <w:widowControl/>
      </w:pPr>
      <w:r>
        <w:t>Трубы и фасонные изделия в ППУ-изоляции должны соответствовать ГОСТ 30732-2020. Тип защитной оболочки, толщину стенки стальной трубы, исполнение изоляции, расчетные давление и температуру, номинальное давление арматуры и фланцев Заказчик определяет по технической документации существующей сети до размещения закупки.</w:t>
      </w:r>
    </w:p>
    <w:p>
      <w:pPr>
        <w:widowControl/>
      </w:pPr>
      <w:r>
        <w:t>Монтаж выполняется с сохранением предусмотренных схемой уклонов, опор, креплений и компенсации температурных перемещений. Повреждение лотков, плит, действующих трубопроводов и иных коммуникаций не допускается. Обнаруженные дефекты существующих конструкций фиксируются совместным актом до их закрытия.</w:t>
      </w:r>
    </w:p>
    <w:p>
      <w:pPr>
        <w:widowControl/>
      </w:pPr>
      <w:r>
        <w:t>Все сварные соединения подлежат визуальному и измерительному контролю; необходимость и объем неразрушающего контроля определяются применимыми нормами и технической документацией. Изоляция стыков восстанавливается совместимыми комплектами с герметизацией защитной оболочки. При наличии системы оперативного дистанционного контроля обеспечиваются ее непрерывность и проверка.</w:t>
      </w:r>
    </w:p>
    <w:p>
      <w:pPr>
        <w:pStyle w:val="Heading1"/>
        <w:widowControl/>
      </w:pPr>
      <w:r>
        <w:t>3 Организация работ и восстановление территории</w:t>
      </w:r>
    </w:p>
    <w:p>
      <w:pPr>
        <w:widowControl/>
      </w:pPr>
      <w:r>
        <w:t>До начала работ Подрядчик согласовывает с Заказчиком график, порядок отключения и опорожнения участка, границы работ и расположение действующих коммуникаций. Работы проводятся после безопасного отключения, охлаждения и сброса давления. Подрядчик обеспечивает ограждение зоны работ, безопасный проход к зданию, охрану труда и пожарную безопасность.</w:t>
      </w:r>
    </w:p>
    <w:p>
      <w:pPr>
        <w:widowControl/>
      </w:pPr>
      <w:r>
        <w:t>Плиты перекрытия и лотки сохраняются для повторного использования. Элементы, поврежденные по вине Подрядчика, восстанавливаются или заменяются за его счет. Существующие опоры очищаются и восстанавливаются в пределах согласованной ведомости работ.</w:t>
      </w:r>
    </w:p>
    <w:p>
      <w:pPr>
        <w:widowControl/>
      </w:pPr>
      <w:r>
        <w:t>До закрытия лотков и обратной засыпки Заказчику предъявляются трубопровод, соединения, опоры и восстановленная изоляция с оформлением актов скрытых работ. Засыпка строительным мусором не допускается. Нарушенные покрытия и озеленение восстанавливаются до исходного состояния в пределах зоны работ.</w:t>
      </w:r>
    </w:p>
    <w:p>
      <w:pPr>
        <w:widowControl/>
      </w:pPr>
      <w:r>
        <w:t>При повреждении действующих инженерных коммуникаций, конструкций или имущества по вине Подрядчика он незамедлительно уведомляет Заказчика и обеспечивает восстановление за свой счет, включая необходимые материалы и работы. Демонтированные металлические трубы и арматура передаются Заказчику по акту; строительные отходы вывозятся Подрядчиком.</w:t>
      </w:r>
    </w:p>
    <w:p>
      <w:pPr>
        <w:pStyle w:val="Heading1"/>
        <w:widowControl/>
      </w:pPr>
      <w:r>
        <w:t>4 Испытания и приемка</w:t>
      </w:r>
    </w:p>
    <w:p>
      <w:pPr>
        <w:widowControl/>
      </w:pPr>
      <w:r>
        <w:t>После монтажа проводятся промывка и гидравлические испытания замененного участка на прочность и герметичность в присутствии представителя Заказчика. Испытания выполняются по программе, утвержденной Заказчиком как эксплуатирующей организацией. Испытательное давление, длительность выдержки и критерии приемки устанавливаются по действующим нормам и технической документации с учетом допустимого давления всех элементов испытываемого участка.</w:t>
      </w:r>
    </w:p>
    <w:p>
      <w:pPr>
        <w:widowControl/>
      </w:pPr>
      <w:r>
        <w:t>До окончательной герметизации стыков обеспечивается доступ для осмотра сварных соединений. Выявленные течи и дефекты устраняются Подрядчиком за свой счет с повторными испытаниями. После успешного испытания и завершения изоляции выполняются закрытие лотков, засыпка и восстановление территории. Пуск производится по согласованию с Заказчиком.</w:t>
      </w:r>
    </w:p>
    <w:p>
      <w:pPr>
        <w:widowControl/>
      </w:pPr>
      <w:r>
        <w:t>При приемке передаются: акт выполненных работ; акт гидравлических испытаний с указанием давления, времени выдержки и результата; акт промывки; акты скрытых работ; документы качества на установленные материалы и оборудование; исполнительная схема замененного участка и документы контроля сварных соединений.</w:t>
      </w:r>
    </w:p>
    <w:p>
      <w:pPr>
        <w:pStyle w:val="Heading1"/>
        <w:widowControl/>
      </w:pPr>
      <w:r>
        <w:t>5 Стоимость сроки и гарантия</w:t>
      </w:r>
    </w:p>
    <w:p>
      <w:pPr>
        <w:widowControl/>
      </w:pPr>
      <w:r>
        <w:t>Стоимость работ включает поставку и доставку материалов, погрузку и разгрузку, применение техники, сварку, изоляцию, испытания, восстановление территории, вывоз отходов и оформление исполнительной документации в пределах утвержденного объема. Срок выполнения работ устанавливается договором.</w:t>
      </w:r>
    </w:p>
    <w:p>
      <w:pPr>
        <w:widowControl/>
      </w:pPr>
      <w:r>
        <w:t>Гарантия на выполненные работы и установленные Подрядчиком материалы и оборудование — 24 месяца со дня подписания акта выполненных работ. Гарантийные дефекты, связанные с качеством работ или поставленных материалов, устраняются Подрядчиком за свой счет. Срок прибытия при аварии и срок устранения недостатков устанавливаются договором. Условия ответственности и гарантии подлежат включению в договор.</w:t>
      </w:r>
    </w:p>
    <w:p>
      <w:pPr>
        <w:pStyle w:val="Title"/>
        <w:pageBreakBefore/>
        <w:widowControl/>
      </w:pPr>
      <w:r>
        <w:t>Жылу трассасының сыртқы құбырын ауыстыруға арналған техникалық ерекшелік</w:t>
      </w:r>
    </w:p>
    <w:p>
      <w:pPr>
        <w:widowControl/>
      </w:pPr>
      <w:r>
        <w:t>Нысан: Тарас Шевченко көшесі, 127 мекенжайында орналасқан «Жоғары техникалық колледж» ғимараты. Жұмыстар қосылу нүктесінен ғимараттың жылу торабына дейінгі учаскеде орындалады.</w:t>
      </w:r>
    </w:p>
    <w:p>
      <w:pPr>
        <w:widowControl/>
      </w:pPr>
      <w:r>
        <w:t>Тапсырыс беруші және пайдаланушы ұйым — Жоғары техникалық колледж. Осы техникалық ерекшелікте «Тапсырыс беруші» деген бірыңғай атау қолданылады.</w:t>
      </w:r>
    </w:p>
    <w:p>
      <w:pPr>
        <w:pStyle w:val="Heading1"/>
        <w:widowControl/>
      </w:pPr>
      <w:r>
        <w:t>1 Жұмыстардың құрамы мен көлемі</w:t>
      </w:r>
    </w:p>
    <w:tbl>
      <w:tblPr>
        <w:tblW w:type="auto" w:w="0"/>
        <w:jc w:val="center"/>
        <w:tblLayout w:type="fixed"/>
        <w:tblLook w:firstColumn="1" w:firstRow="1" w:lastColumn="0" w:lastRow="0" w:noHBand="0" w:noVBand="1" w:val="04A0"/>
      </w:tblPr>
      <w:tblGrid>
        <w:gridCol w:w="504"/>
        <w:gridCol w:w="7704"/>
        <w:gridCol w:w="1872"/>
      </w:tblGrid>
      <w:tr>
        <w:trPr>
          <w:cantSplit/>
          <w:tblHeader/>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shd w:fill="E7E6E6"/>
          </w:tcPr>
          <w:p>
            <w:pPr>
              <w:spacing w:after="40" w:line="240" w:lineRule="auto"/>
              <w:jc w:val="center"/>
            </w:pPr>
            <w:r>
              <w:rPr>
                <w:b/>
                <w:sz w:val="22"/>
              </w:rPr>
              <w:t>№</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shd w:fill="E7E6E6"/>
          </w:tcPr>
          <w:p>
            <w:pPr>
              <w:spacing w:after="40" w:line="240" w:lineRule="auto"/>
            </w:pPr>
            <w:r>
              <w:rPr>
                <w:b/>
                <w:sz w:val="22"/>
              </w:rPr>
              <w:t>Жұмыстың атауы</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shd w:fill="E7E6E6"/>
          </w:tcPr>
          <w:p>
            <w:pPr>
              <w:spacing w:after="40" w:line="240" w:lineRule="auto"/>
              <w:jc w:val="center"/>
            </w:pPr>
            <w:r>
              <w:rPr>
                <w:b/>
                <w:sz w:val="22"/>
              </w:rPr>
              <w:t>Көлемі</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1</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Топырақты науа жабын плиталарына дейін, 1 м-ге дейінгі тереңдікте механикаландырылған тәсілмен қазу. Қолданыстағы коммуникациялар маңында қолмен қазу. Науа жабын плиталарын бөлшектеу және қайта орнату.</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Жұмыс көлемдері ведомосі бойынша</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2</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Сыртқы диаметрі 89 мм қолданыстағы сыртқы болат құбырды бөлшектеу.</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24 м</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3</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Сыртқы диаметрі 89 мм, зауытта жасалған пенополиуретан жылу оқшаулауы және қорғаныш қабықшасы бар жаңа болат құбырды жеткізу және монтаждау.</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24 м</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4</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Қолданыстағы фланецті бекіту арматурасын бөлшектеу және DN 80 жаңа арматураны монтаждау; ерекшелік жобасында — шарлы крандар.</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3 дана</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5</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Қолданыстағы жауап фланецтерін бөлшектеу және бекіткіштер мен ыстыққа төзімді тығыздағыштар жиынтығы бар DN 80 жаңа жауап фланецтерін монтаждау.</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6 дана</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6</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Қолданыстағы болат бұрмаларды бөлшектеу және сыртқы диаметрі 89 мм құбырға сәйкес келетін DN 80 жаңа болат бұрмаларды монтаждау.</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6 дана</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7</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Дәнекерлеу, қосылыстарды бақылау, барлық түйіспелер мен пішінді элементтерді жылу оқшаулау және герметизациялау; қолданыстағы желіге және жылу торабына қосу.</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Бүкіл учаске</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8</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Жуу, гидравликалық сынақтар, толтыру, ауаны шығару және ауыстырылған учаскенің жұмысқа жарамдылығын тексеру.</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Бүкіл учаске</w:t>
            </w:r>
          </w:p>
        </w:tc>
      </w:tr>
      <w:tr>
        <w:trPr>
          <w:cantSplit/>
        </w:trPr>
        <w:tc>
          <w:tcPr>
            <w:tcW w:type="dxa" w:w="5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9</w:t>
            </w:r>
          </w:p>
        </w:tc>
        <w:tc>
          <w:tcPr>
            <w:tcW w:type="dxa" w:w="7704"/>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pPr>
            <w:r>
              <w:rPr>
                <w:b w:val="0"/>
                <w:sz w:val="22"/>
              </w:rPr>
              <w:t>Қабаттап тығыздай отырып кері көму, бұзылған абаттандыруды қалпына келтіру, аумақты жинау және құрылыс қалдықтарын шығару.</w:t>
            </w:r>
          </w:p>
        </w:tc>
        <w:tc>
          <w:tcPr>
            <w:tcW w:type="dxa" w:w="1872"/>
            <w:vAlign w:val="center"/>
            <w:tcBorders>
              <w:top w:val="single" w:sz="4" w:color="D9D9D9"/>
              <w:left w:val="single" w:sz="4" w:color="D9D9D9"/>
              <w:bottom w:val="single" w:sz="4" w:color="D9D9D9"/>
              <w:right w:val="single" w:sz="4" w:color="D9D9D9"/>
            </w:tcBorders>
            <w:tcMar>
              <w:top w:w="80" w:type="dxa"/>
              <w:left w:w="80" w:type="dxa"/>
              <w:bottom w:w="80" w:type="dxa"/>
              <w:right w:w="80" w:type="dxa"/>
            </w:tcMar>
          </w:tcPr>
          <w:p>
            <w:pPr>
              <w:spacing w:after="40" w:line="240" w:lineRule="auto"/>
              <w:jc w:val="center"/>
            </w:pPr>
            <w:r>
              <w:rPr>
                <w:b w:val="0"/>
                <w:sz w:val="22"/>
              </w:rPr>
              <w:t>Жұмыс көлемдері ведомосі бойынша</w:t>
            </w:r>
          </w:p>
        </w:tc>
      </w:tr>
    </w:tbl>
    <w:p>
      <w:pPr>
        <w:widowControl/>
      </w:pPr>
      <w:r>
        <w:t>Ескертпе: 24 м бастапқы деректер бойынша көрсетілген. Сатып алуға дейін Тапсырыс беруші ұзындықтың беру және қайтару құбырлары арасында бөлінуін нақтылап, жұмыс көлемдерінің ведомосін бекітеді.</w:t>
      </w:r>
    </w:p>
    <w:p>
      <w:pPr>
        <w:pStyle w:val="Heading1"/>
        <w:widowControl/>
      </w:pPr>
      <w:r>
        <w:t>2 Материалдар мен монтаждауға қойылатын талаптар</w:t>
      </w:r>
    </w:p>
    <w:p>
      <w:pPr>
        <w:widowControl/>
      </w:pPr>
      <w:r>
        <w:t>Жеткізілетін құбырлар, арматура, фланецтер, бұрмалар, бекіткіштер және оқшаулағыш материалдар жаңа, бұрын пайдаланылмаған, зақымдалмаған және жылу тасымалдағыштың белгіленген параметрлеріне жарамды болуы тиіс. Мердігер сапа паспорттарын және тиісті өнім үшін көзделген сәйкестікті растайтын құжаттарды ұсынады.</w:t>
      </w:r>
    </w:p>
    <w:p>
      <w:pPr>
        <w:widowControl/>
      </w:pPr>
      <w:r>
        <w:t>ППУ оқшаулауы бар құбырлар мен пішінді бұйымдар ГОСТ 30732-2020 талаптарына сәйкес болуы тиіс. Қорғаныш қабықшасының түрін, болат құбыр қабырғасының қалыңдығын, оқшаулаудың орындалуын, есептік қысым мен температураны, арматура мен фланецтердің номиналдық қысымын Тапсырыс беруші сатып алуды жариялағанға дейін қолданыстағы желінің техникалық құжаттамасы бойынша анықтайды.</w:t>
      </w:r>
    </w:p>
    <w:p>
      <w:pPr>
        <w:widowControl/>
      </w:pPr>
      <w:r>
        <w:t>Монтаждау сызбада көзделген еңістерді, тіректерді, бекітпелерді және температуралық ұзаруды өтеу шешімдерін сақтай отырып орындалады. Науаларды, плиталарды, қолданыстағы құбырларды және өзге коммуникацияларды зақымдауға жол берілмейді. Қолданыстағы конструкциялардың анықталған ақаулары жабылғанға дейін бірлескен актімен тіркеледі.</w:t>
      </w:r>
    </w:p>
    <w:p>
      <w:pPr>
        <w:widowControl/>
      </w:pPr>
      <w:r>
        <w:t>Барлық дәнекерленген қосылыстар көзбен шолып және өлшеу арқылы бақылаудан өтеді; бұзбай бақылаудың қажеттілігі мен көлемі қолданылатын нормалар және техникалық құжаттама бойынша белгіленеді. Түйіспелердің оқшаулауы үйлесімді жиынтықтармен қалпына келтіріліп, қорғаныш қабықшасы герметизацияланады. Жедел қашықтан бақылау жүйесі бар болса, оның үздіксіздігі қамтамасыз етіліп, тексеріледі.</w:t>
      </w:r>
    </w:p>
    <w:p>
      <w:pPr>
        <w:pStyle w:val="Heading1"/>
        <w:widowControl/>
      </w:pPr>
      <w:r>
        <w:t>3 Жұмыстарды ұйымдастыру және аумақты қалпына келтіру</w:t>
      </w:r>
    </w:p>
    <w:p>
      <w:pPr>
        <w:widowControl/>
      </w:pPr>
      <w:r>
        <w:t>Жұмыс басталғанға дейін Мердігер Тапсырыс берушімен кестені, учаскені ажырату және босату тәртібін, жұмыс шекараларын және қолданыстағы коммуникациялардың орналасуын келіседі. Жұмыстар қауіпсіз ажыратудан, салқындатудан және қысымды түсіруден кейін жүргізіледі. Мердігер жұмыс аймағын қоршауды, ғимаратқа қауіпсіз өтуді, еңбек және өрт қауіпсіздігін қамтамасыз етеді.</w:t>
      </w:r>
    </w:p>
    <w:p>
      <w:pPr>
        <w:widowControl/>
      </w:pPr>
      <w:r>
        <w:t>Жабын плиталары мен науалар қайта пайдалану үшін сақталады. Мердігердің кінәсінен зақымдалған элементтер оның есебінен қалпына келтіріледі немесе ауыстырылады. Қолданыстағы тіректер келісілген жұмыс ведомосі шегінде тазартылып, қалпына келтіріледі.</w:t>
      </w:r>
    </w:p>
    <w:p>
      <w:pPr>
        <w:widowControl/>
      </w:pPr>
      <w:r>
        <w:t>Науалар жабылғанға және кері көмілгенге дейін құбыр, қосылыстар, тіректер және қалпына келтірілген оқшаулау Тапсырыс берушіге көрсетіліп, жасырын жұмыстар актілері рәсімделеді. Құрылыс қоқысымен көмуге жол берілмейді. Жұмыс аймағында бұзылған жабындар мен көгалдандыру бастапқы күйіне келтіріледі.</w:t>
      </w:r>
    </w:p>
    <w:p>
      <w:pPr>
        <w:widowControl/>
      </w:pPr>
      <w:r>
        <w:t>Қолданыстағы инженерлік коммуникациялар, конструкциялар немесе мүлік Мердігердің кінәсінен зақымдалса, ол Тапсырыс берушіні дереу хабардар етіп, қажетті материалдар мен жұмыстарды қоса алғанда, өз есебінен қалпына келтіруді қамтамасыз етеді. Бөлшектелген металл құбырлар мен арматура Тапсырыс берушіге акт бойынша тапсырылады; құрылыс қалдықтарын Мердігер шығарады.</w:t>
      </w:r>
    </w:p>
    <w:p>
      <w:pPr>
        <w:pStyle w:val="Heading1"/>
        <w:widowControl/>
      </w:pPr>
      <w:r>
        <w:t>4 Сынақтар және қабылдау</w:t>
      </w:r>
    </w:p>
    <w:p>
      <w:pPr>
        <w:widowControl/>
      </w:pPr>
      <w:r>
        <w:t>Монтаждаудан кейін Тапсырыс берушінің өкілі қатысқан кезде ауыстырылған учаске жуылып, беріктік пен герметикалыққа гидравликалық сынақтар жүргізіледі. Сынақтар пайдаланушы ұйым ретінде Тапсырыс беруші бекіткен бағдарлама бойынша орындалады. Сынақ қысымы, ұстау ұзақтығы және қабылдау өлшемшарттары сыналатын учаскенің барлық элементтеріне рұқсат етілген қысымды ескере отырып, қолданыстағы нормалар мен техникалық құжаттама бойынша белгіленеді.</w:t>
      </w:r>
    </w:p>
    <w:p>
      <w:pPr>
        <w:widowControl/>
      </w:pPr>
      <w:r>
        <w:t>Түйіспелерді түпкілікті герметизациялағанға дейін дәнекерленген қосылыстарды тексеруге қолжетімділік қамтамасыз етіледі. Анықталған ағулар мен ақауларды Мердігер өз есебінен жойып, сынақтарды қайта жүргізеді. Сынақ сәтті аяқталып, оқшаулау жұмыстары біткеннен кейін науалар жабылады, кері көму және аумақты қалпына келтіру орындалады. Іске қосу Тапсырыс берушімен келісіліп жүргізіледі.</w:t>
      </w:r>
    </w:p>
    <w:p>
      <w:pPr>
        <w:widowControl/>
      </w:pPr>
      <w:r>
        <w:t>Қабылдау кезінде орындалған жұмыстар актісі; қысым, ұстау уақыты және нәтижесі көрсетілген гидравликалық сынақ актісі; жуу актісі; жасырын жұмыстар актілері; орнатылған материалдар мен жабдықтардың сапа құжаттары; ауыстырылған учаскенің атқарушылық сызбасы және дәнекерленген қосылыстарды бақылау құжаттары тапсырылады.</w:t>
      </w:r>
    </w:p>
    <w:p>
      <w:pPr>
        <w:pStyle w:val="Heading1"/>
        <w:widowControl/>
      </w:pPr>
      <w:r>
        <w:t>5 Құны мерзімдері және кепілдік</w:t>
      </w:r>
    </w:p>
    <w:p>
      <w:pPr>
        <w:widowControl/>
      </w:pPr>
      <w:r>
        <w:t>Жұмыстар құны бекітілген көлем шегінде материалдарды жеткізуді, тиеу мен түсіруді, техниканы қолдануды, дәнекерлеуді, оқшаулауды, сынақтарды, аумақты қалпына келтіруді, қалдықтарды шығаруды және атқарушылық құжаттаманы рәсімдеуді қамтиды. Жұмыстарды орындау мерзімі шартта белгіленеді.</w:t>
      </w:r>
    </w:p>
    <w:p>
      <w:pPr>
        <w:widowControl/>
      </w:pPr>
      <w:r>
        <w:t>Орындалған жұмыстарға және Мердігер орнатқан материалдар мен жабдықтарға кепілдік — орындалған жұмыстар актісіне қол қойылған күннен бастап 24 ай. Жұмыстардың немесе жеткізілген материалдардың сапасына байланысты кепілдік ақауларын Мердігер өз есебінен жояды. Авария кезінде келу мерзімі және кемшіліктерді жою мерзімі шартта белгіленеді. Жауапкершілік пен кепілдік талаптары шартқа енгізілуі тиіс.</w:t>
      </w:r>
    </w:p>
    <w:p>
      <w:pPr>
        <w:pStyle w:val="Title"/>
        <w:pageBreakBefore/>
        <w:widowControl/>
      </w:pPr>
      <w:r>
        <w:t>Уточнения перед размещением закупки</w:t>
      </w:r>
    </w:p>
    <w:p>
      <w:pPr>
        <w:widowControl/>
      </w:pPr>
      <w:r>
        <w:t>Этот раздел предназначен для подготовки окончательной редакции спецификации. Числовые параметры и объемы необходимо определить до объявления закупки, чтобы участники рассчитывали стоимость на одинаковых условиях.</w:t>
      </w:r>
    </w:p>
    <w:p>
      <w:pPr>
        <w:widowControl/>
      </w:pPr>
      <w:r>
        <w:t>1. Диаметр трубы. В исходном тексте указано «Ду 89 мм». В проекте документа 89 мм принято как наружный диаметр стальной трубы, а DN 80 — как номинальный диаметр арматуры. Соответствие следует проверить по существующим трубам и документации.</w:t>
      </w:r>
    </w:p>
    <w:p>
      <w:pPr>
        <w:widowControl/>
      </w:pPr>
      <w:r>
        <w:t>2. Длина. Уточнить, 24 м — общая длина обеих труб или длина каждой трубы. Если требуется по 24 м подающей и обратной трубы, объем демонтажа и монтажа составит по 48 м.</w:t>
      </w:r>
    </w:p>
    <w:p>
      <w:pPr>
        <w:widowControl/>
      </w:pPr>
      <w:r>
        <w:t>3. Арматура и отводы. В исходном тексте одновременно указаны шаровая арматура и задвижка. В проекте приняты новые шаровые краны — 3 шт., новые ответные фланцы — 6 шт. и новые отводы — 6 шт. Подтвердить тип арматуры, необходимость замены либо повторного использования, углы отводов и монтажные размеры.</w:t>
      </w:r>
    </w:p>
    <w:p>
      <w:pPr>
        <w:widowControl/>
      </w:pPr>
      <w:r>
        <w:t>4. Параметры материалов. Указать толщину стенки трубы, марку стали и стандарт на несущую трубу, тип и размеры ППУ-изоляции и оболочки, рабочие давление и температуру, PN арматуры и фланцев, наличие системы дистанционного контроля. Параметры должны соответствовать существующей сети и техническому решению.</w:t>
      </w:r>
    </w:p>
    <w:p>
      <w:pPr>
        <w:widowControl/>
      </w:pPr>
      <w:r>
        <w:t>5. Земляные работы. Определить объем разработки и обратной засыпки в м³, количество и размеры плит, площадь восстановления покрытий и озеленения, необходимость замены поврежденных до начала работ лотков, плит и опор. Одной глубины до 1 м для расчета цены недостаточно.</w:t>
      </w:r>
    </w:p>
    <w:p>
      <w:pPr>
        <w:widowControl/>
      </w:pPr>
      <w:r>
        <w:t>6. Границы и сроки. Приложить схему участка с точками подключения, ведомость объемов и сроки выполнения. Определить допустимую продолжительность отключения и порядок пуска. Если отключение затрагивает внешнюю сеть, учесть согласование с ее владельцем.</w:t>
      </w:r>
    </w:p>
    <w:p>
      <w:pPr>
        <w:widowControl/>
      </w:pPr>
      <w:r>
        <w:t>7. Состав стоимости. В проекте предусмотрена поставка новых материалов Подрядчиком. Если часть материалов предоставляет колледж, перечислить их отдельно и скорректировать состав стоимости.</w:t>
      </w:r>
    </w:p>
    <w:p>
      <w:pPr>
        <w:widowControl/>
      </w:pPr>
      <w:r>
        <w:t>8. Гарантия. В договоре установить срок прибытия при аварии и срок устранения недостатков. Заказчиком и эксплуатирующей организацией во всех положениях выступает колледж.</w:t>
      </w:r>
    </w:p>
    <w:p>
      <w:pPr>
        <w:pStyle w:val="Heading1"/>
        <w:widowControl/>
      </w:pPr>
      <w:r>
        <w:t>Сатып алуды жариялағанға дейін нақтылау</w:t>
      </w:r>
    </w:p>
    <w:p>
      <w:pPr>
        <w:widowControl/>
      </w:pPr>
      <w:r>
        <w:t>Соңғы редакцияда құбырдың 89 мм сыртқы диаметрін және DN 80 арматурасын, 24 м ұзындықтың екі құбырға жалпы немесе әрқайсысына бөлек берілгенін, арматураның түрін және жаңа материалдармен ауыстыру қажеттілігін растау керек. Құбыр қабырғасының қалыңдығы, болат маркасы, оқшаулау мен қабықша өлшемдері, қысым мен температура, PN, бұрма бұрыштары, жер жұмыстарының көлемі, плиталар саны, қалпына келтіру ауданы және жұмыс мерзімдері белгіленеді. Жоба бойынша жаңа материалдарды Мердігер жеткізеді. Авария кезінде келу және ақауларды жою мерзімдері шартқа енгізіледі. Тапсырыс беруші және пайдаланушы ұйым — колледж.</w:t>
      </w:r>
    </w:p>
    <w:p>
      <w:pPr>
        <w:pStyle w:val="Heading1"/>
        <w:widowControl/>
      </w:pPr>
      <w:r>
        <w:t>Нормативный источник</w:t>
      </w:r>
    </w:p>
    <w:p>
      <w:pPr>
        <w:widowControl/>
      </w:pPr>
      <w:r>
        <w:t>ГОСТ 30732-2020 — трубы и фасонные изделия стальные с тепловой изоляцией из пенополиуретана с защитной оболочкой. Каталог КазСтандарта: https://new-shop.ksm.kz/catalog/document/73241/</w:t>
      </w:r>
    </w:p>
    <w:sectPr w:rsidR="00FC693F" w:rsidRPr="0006063C" w:rsidSect="00034616">
      <w:footerReference w:type="default" r:id="rId9"/>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Simple w:instr="PAGE"/>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line="240" w:lineRule="auto"/>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6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6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60" w:line="240" w:lineRule="auto"/>
      <w:outlineLvl w:val="0"/>
    </w:pPr>
    <w:rPr>
      <w:rFonts w:ascii="Times New Roman" w:hAnsi="Times New Roman"/>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60" w:line="240" w:lineRule="auto"/>
      <w:outlineLvl w:val="1"/>
    </w:pPr>
    <w:rPr>
      <w:rFonts w:ascii="Times New Roman" w:hAnsi="Times New Roman"/>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60" w:line="240" w:lineRule="auto"/>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60" w:line="240" w:lineRule="auto"/>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60" w:line="240" w:lineRule="auto"/>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60" w:line="240" w:lineRule="auto"/>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60" w:line="240"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60" w:line="240" w:lineRule="auto"/>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6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6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60" w:line="240" w:lineRule="auto"/>
      <w:contextualSpacing/>
    </w:pPr>
    <w:rPr>
      <w:rFonts w:ascii="Times New Roman" w:hAnsi="Times New Roman"/>
      <w:b/>
      <w:color w:val="000000"/>
      <w:spacing w:val="5"/>
      <w:kern w:val="28"/>
      <w:sz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60" w:line="240"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spacing w:after="60" w:line="240" w:lineRule="auto"/>
      <w:ind w:left="720"/>
      <w:contextualSpacing/>
    </w:pPr>
  </w:style>
  <w:style w:type="paragraph" w:styleId="BodyText">
    <w:name w:val="Body Text"/>
    <w:basedOn w:val="Normal"/>
    <w:link w:val="BodyTextChar"/>
    <w:uiPriority w:val="99"/>
    <w:unhideWhenUsed/>
    <w:rsid w:val="00AA1D8D"/>
    <w:pPr>
      <w:spacing w:after="60" w:line="240" w:lineRule="auto"/>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60" w:line="24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60" w:line="240" w:lineRule="auto"/>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spacing w:after="60" w:line="240" w:lineRule="auto"/>
      <w:ind w:left="360" w:hanging="360"/>
      <w:contextualSpacing/>
    </w:pPr>
  </w:style>
  <w:style w:type="paragraph" w:styleId="List2">
    <w:name w:val="List 2"/>
    <w:basedOn w:val="Normal"/>
    <w:uiPriority w:val="99"/>
    <w:unhideWhenUsed/>
    <w:rsid w:val="00326F90"/>
    <w:pPr>
      <w:spacing w:after="60" w:line="240" w:lineRule="auto"/>
      <w:ind w:left="720" w:hanging="360"/>
      <w:contextualSpacing/>
    </w:pPr>
  </w:style>
  <w:style w:type="paragraph" w:styleId="List3">
    <w:name w:val="List 3"/>
    <w:basedOn w:val="Normal"/>
    <w:uiPriority w:val="99"/>
    <w:unhideWhenUsed/>
    <w:rsid w:val="00326F90"/>
    <w:pPr>
      <w:spacing w:after="60" w:line="240" w:lineRule="auto"/>
      <w:ind w:left="1080" w:hanging="360"/>
      <w:contextualSpacing/>
    </w:pPr>
  </w:style>
  <w:style w:type="paragraph" w:styleId="ListBullet">
    <w:name w:val="List Bullet"/>
    <w:basedOn w:val="Normal"/>
    <w:uiPriority w:val="99"/>
    <w:unhideWhenUsed/>
    <w:rsid w:val="00326F90"/>
    <w:pPr>
      <w:numPr>
        <w:numId w:val="1"/>
      </w:numPr>
      <w:spacing w:after="60" w:line="240" w:lineRule="auto"/>
      <w:contextualSpacing/>
    </w:pPr>
  </w:style>
  <w:style w:type="paragraph" w:styleId="ListBullet2">
    <w:name w:val="List Bullet 2"/>
    <w:basedOn w:val="Normal"/>
    <w:uiPriority w:val="99"/>
    <w:unhideWhenUsed/>
    <w:rsid w:val="00326F90"/>
    <w:pPr>
      <w:numPr>
        <w:numId w:val="2"/>
      </w:numPr>
      <w:spacing w:after="60" w:line="240" w:lineRule="auto"/>
      <w:contextualSpacing/>
    </w:pPr>
  </w:style>
  <w:style w:type="paragraph" w:styleId="ListBullet3">
    <w:name w:val="List Bullet 3"/>
    <w:basedOn w:val="Normal"/>
    <w:uiPriority w:val="99"/>
    <w:unhideWhenUsed/>
    <w:rsid w:val="00326F90"/>
    <w:pPr>
      <w:numPr>
        <w:numId w:val="3"/>
      </w:numPr>
      <w:spacing w:after="60" w:line="240" w:lineRule="auto"/>
      <w:contextualSpacing/>
    </w:pPr>
  </w:style>
  <w:style w:type="paragraph" w:styleId="ListNumber">
    <w:name w:val="List Number"/>
    <w:basedOn w:val="Normal"/>
    <w:uiPriority w:val="99"/>
    <w:unhideWhenUsed/>
    <w:rsid w:val="00326F90"/>
    <w:pPr>
      <w:numPr>
        <w:numId w:val="5"/>
      </w:numPr>
      <w:spacing w:after="60" w:line="240" w:lineRule="auto"/>
      <w:contextualSpacing/>
    </w:pPr>
  </w:style>
  <w:style w:type="paragraph" w:styleId="ListNumber2">
    <w:name w:val="List Number 2"/>
    <w:basedOn w:val="Normal"/>
    <w:uiPriority w:val="99"/>
    <w:unhideWhenUsed/>
    <w:rsid w:val="0029639D"/>
    <w:pPr>
      <w:numPr>
        <w:numId w:val="6"/>
      </w:numPr>
      <w:spacing w:after="60" w:line="240" w:lineRule="auto"/>
      <w:contextualSpacing/>
    </w:pPr>
  </w:style>
  <w:style w:type="paragraph" w:styleId="ListNumber3">
    <w:name w:val="List Number 3"/>
    <w:basedOn w:val="Normal"/>
    <w:uiPriority w:val="99"/>
    <w:unhideWhenUsed/>
    <w:rsid w:val="0029639D"/>
    <w:pPr>
      <w:numPr>
        <w:numId w:val="7"/>
      </w:numPr>
      <w:spacing w:after="60" w:line="240" w:lineRule="auto"/>
      <w:contextualSpacing/>
    </w:pPr>
  </w:style>
  <w:style w:type="paragraph" w:styleId="ListContinue">
    <w:name w:val="List Continue"/>
    <w:basedOn w:val="Normal"/>
    <w:uiPriority w:val="99"/>
    <w:unhideWhenUsed/>
    <w:rsid w:val="0029639D"/>
    <w:pPr>
      <w:spacing w:after="60" w:line="240" w:lineRule="auto"/>
      <w:ind w:left="360"/>
      <w:contextualSpacing/>
    </w:pPr>
  </w:style>
  <w:style w:type="paragraph" w:styleId="ListContinue2">
    <w:name w:val="List Continue 2"/>
    <w:basedOn w:val="Normal"/>
    <w:uiPriority w:val="99"/>
    <w:unhideWhenUsed/>
    <w:rsid w:val="0029639D"/>
    <w:pPr>
      <w:spacing w:after="60" w:line="240" w:lineRule="auto"/>
      <w:ind w:left="720"/>
      <w:contextualSpacing/>
    </w:pPr>
  </w:style>
  <w:style w:type="paragraph" w:styleId="ListContinue3">
    <w:name w:val="List Continue 3"/>
    <w:basedOn w:val="Normal"/>
    <w:uiPriority w:val="99"/>
    <w:unhideWhenUsed/>
    <w:rsid w:val="0029639D"/>
    <w:pPr>
      <w:spacing w:after="60" w:line="240" w:lineRule="auto"/>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spacing w:after="60" w:line="240" w:lineRule="auto"/>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after="60" w:line="240" w:lineRule="auto"/>
    </w:pPr>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after="60"/>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60" w:line="240" w:lineRule="auto"/>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spacing w:after="60" w:line="240" w:lineRule="auto"/>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