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193" w:rsidRDefault="00CC7193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CC7193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</w:rPr>
        <w:t>Екідің МС блок-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модулін  жөндеуді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highlight w:val="white"/>
        </w:rPr>
        <w:t>мемлекеттік сатып алуға арналған техникалық ерекшелік</w:t>
      </w:r>
    </w:p>
    <w:p w:rsidR="00CC7193" w:rsidRDefault="000D3A3A" w:rsidP="00EE5B4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highlight w:val="white"/>
        </w:rPr>
      </w:pPr>
      <w:r>
        <w:rPr>
          <w:rFonts w:ascii="Times New Roman" w:eastAsia="Times New Roman" w:hAnsi="Times New Roman" w:cs="Times New Roman"/>
          <w:color w:val="000000"/>
          <w:highlight w:val="white"/>
        </w:rPr>
        <w:t> </w:t>
      </w:r>
      <w:r>
        <w:rPr>
          <w:rFonts w:ascii="Times New Roman" w:eastAsia="Times New Roman" w:hAnsi="Times New Roman" w:cs="Times New Roman"/>
          <w:color w:val="000000"/>
          <w:highlight w:val="white"/>
        </w:rPr>
        <w:t> </w:t>
      </w:r>
    </w:p>
    <w:p w:rsidR="00CC7193" w:rsidRDefault="000D3A3A">
      <w:pPr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highlight w:val="white"/>
        </w:rPr>
        <w:t xml:space="preserve">Жұмыстың атауы: </w:t>
      </w:r>
      <w:r>
        <w:rPr>
          <w:rFonts w:ascii="Times New Roman" w:eastAsia="Times New Roman" w:hAnsi="Times New Roman" w:cs="Times New Roman"/>
          <w:sz w:val="28"/>
        </w:rPr>
        <w:t xml:space="preserve">Екідің МС блок-модулін жөндеу. </w:t>
      </w:r>
    </w:p>
    <w:p w:rsidR="00CC7193" w:rsidRDefault="000D3A3A">
      <w:pPr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highlight w:val="white"/>
        </w:rPr>
        <w:t xml:space="preserve">Жұмыс көрсету мерзімі: </w:t>
      </w:r>
      <w:r>
        <w:rPr>
          <w:rFonts w:ascii="Times New Roman" w:eastAsia="Times New Roman" w:hAnsi="Times New Roman" w:cs="Times New Roman"/>
          <w:color w:val="000000"/>
          <w:sz w:val="28"/>
          <w:highlight w:val="white"/>
        </w:rPr>
        <w:t>шартқа қол қойылған сәттен бастап 30 күнтізбелік күн ішінде.</w:t>
      </w:r>
    </w:p>
    <w:p w:rsidR="00CC7193" w:rsidRDefault="000D3A3A">
      <w:pPr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highlight w:val="white"/>
        </w:rPr>
        <w:t>Жұмыс көрсету орны: </w:t>
      </w:r>
      <w:r>
        <w:rPr>
          <w:rFonts w:ascii="Times New Roman" w:eastAsia="Times New Roman" w:hAnsi="Times New Roman" w:cs="Times New Roman"/>
          <w:color w:val="000000"/>
          <w:sz w:val="28"/>
          <w:highlight w:val="white"/>
        </w:rPr>
        <w:t xml:space="preserve">Қостанай облысы, Арқалық қаласы, Екідің ауылы.  </w:t>
      </w:r>
    </w:p>
    <w:p w:rsidR="00CC7193" w:rsidRDefault="000D3A3A">
      <w:pPr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0"/>
          <w:tab w:val="left" w:pos="992"/>
        </w:tabs>
        <w:spacing w:after="0" w:line="240" w:lineRule="auto"/>
        <w:ind w:left="0" w:firstLine="709"/>
        <w:jc w:val="both"/>
        <w:rPr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highlight w:val="white"/>
        </w:rPr>
        <w:t>Жұмыстың функционалдық, техникалық, сапалық, пайдалану</w:t>
      </w:r>
      <w:r>
        <w:rPr>
          <w:rFonts w:ascii="Times New Roman" w:eastAsia="Times New Roman" w:hAnsi="Times New Roman" w:cs="Times New Roman"/>
          <w:b/>
          <w:color w:val="000000"/>
          <w:sz w:val="28"/>
          <w:highlight w:val="white"/>
        </w:rPr>
        <w:t xml:space="preserve"> және өзге де сипаттамалары:</w:t>
      </w:r>
    </w:p>
    <w:p w:rsidR="00CC7193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Екідің метеорологиялық станциясында терезе блоктарының тығыздағыштарын қалпына келтіруді, жылыту жүйесін орнатуды, жылыту жабдықтары мен сплит-жүйені монтаждауды, сондай-ақ блок-модульдік (БМ) </w:t>
      </w:r>
      <w:proofErr w:type="gramStart"/>
      <w:r>
        <w:rPr>
          <w:rFonts w:ascii="Times New Roman" w:eastAsia="Times New Roman" w:hAnsi="Times New Roman" w:cs="Times New Roman"/>
          <w:sz w:val="28"/>
        </w:rPr>
        <w:t>ғимаратта  жөндеу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жұмыстарын орынд</w:t>
      </w:r>
      <w:r>
        <w:rPr>
          <w:rFonts w:ascii="Times New Roman" w:eastAsia="Times New Roman" w:hAnsi="Times New Roman" w:cs="Times New Roman"/>
          <w:sz w:val="28"/>
        </w:rPr>
        <w:t>ауды қамтитын жөндеу жұмыстарын жүргізу.</w:t>
      </w:r>
    </w:p>
    <w:p w:rsidR="00CC7193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Жөндеу жұмыстары:</w:t>
      </w:r>
    </w:p>
    <w:p w:rsidR="00CC7193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1. Терезелер</w:t>
      </w:r>
    </w:p>
    <w:p w:rsidR="00CC7193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1.1. Терезе және есік блоктарының жақтауларындағы резеңке тығыздағыштарды ауыстыру - 13,6 м;</w:t>
      </w:r>
    </w:p>
    <w:p w:rsidR="00CC7193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1.2. Терезе жақтауының жабылатын бөлігіндегі тығыздағышты ауыстыру - 13,6 м;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1.3. Жалпы ауд</w:t>
      </w:r>
      <w:r w:rsidRPr="00EE5B4F">
        <w:rPr>
          <w:rFonts w:ascii="Times New Roman" w:eastAsia="Times New Roman" w:hAnsi="Times New Roman" w:cs="Times New Roman"/>
          <w:sz w:val="28"/>
          <w:lang w:val="ru-RU"/>
        </w:rPr>
        <w:t>аны 4 м² болатын масаға қарсы тор орнату.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b/>
          <w:sz w:val="28"/>
          <w:lang w:val="ru-RU"/>
        </w:rPr>
        <w:t>2. Жылыту және желдету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2.1. Электр қазандығын электр желісіне қосу арқылы орнату - 1 жиынтық;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2.2. Қуаты 6 кВт электр қазандығын жеткізу - 1 жиынтық;</w:t>
      </w:r>
    </w:p>
    <w:p w:rsidR="00CC7193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2.3. Диаметрі 25 мм-ге дейінгі бұрандалы қосылыстары бар, ылғалды роторлы циркуляциялық сорғыны орнату - 1 дана;</w:t>
      </w:r>
    </w:p>
    <w:p w:rsidR="00CC7193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2.4. Циркуляциялық сорғыны жеткізу - 1 дана;</w:t>
      </w:r>
    </w:p>
    <w:p w:rsidR="00CC7193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2.5. Сыйымдылығы 0,1 м³ аспайтын дөңгелек немесе тікбұрышты кеңейту багын орнату - 1 бак;</w:t>
      </w:r>
    </w:p>
    <w:p w:rsidR="00CC7193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2.6. Диа</w:t>
      </w:r>
      <w:r>
        <w:rPr>
          <w:rFonts w:ascii="Times New Roman" w:eastAsia="Times New Roman" w:hAnsi="Times New Roman" w:cs="Times New Roman"/>
          <w:sz w:val="28"/>
        </w:rPr>
        <w:t>метрі 32 мм полимер құбырлардан жасалған жылыту құбыржолын раструбтық дәнекерлеу қосылыстарымен төсеу - 30 м құбыржол;</w:t>
      </w:r>
    </w:p>
    <w:p w:rsidR="00CC7193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2.7. МЕМСТ 32415-2013 стандартына сәйкес келетін, сыртқы диаметрі 32 мм, жылыту жүйесіне арналған PP-R полипропилен қысымды құбырын жеткі</w:t>
      </w:r>
      <w:r>
        <w:rPr>
          <w:rFonts w:ascii="Times New Roman" w:eastAsia="Times New Roman" w:hAnsi="Times New Roman" w:cs="Times New Roman"/>
          <w:sz w:val="28"/>
        </w:rPr>
        <w:t>зу - 30 м;</w:t>
      </w:r>
    </w:p>
    <w:p w:rsidR="00CC7193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2.8. Диаметрі 20 мм полимер құбырлардан жасалған жылыту құбыржолын раструбтық дәнекерлеу қосылыстарымен төсеу - 2 м құбыржол;</w:t>
      </w:r>
    </w:p>
    <w:p w:rsidR="00CC7193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2.9. МЕМСТ 32415-2013 стандартына сәйкес келетін, сыртқы диаметрі 20 мм, жылыту жүйесіне арналған PP-R полипропилен қысымды құбырын жеткізу - 2 м;</w:t>
      </w:r>
    </w:p>
    <w:p w:rsidR="00CC7193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2.10. Полимер құбырларға арналған фасондық және жалғағыш бөлшектерді жеткізу - 20 дана;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2.11. Жалпы қуаты 6,4</w:t>
      </w:r>
      <w:r w:rsidRPr="00EE5B4F">
        <w:rPr>
          <w:rFonts w:ascii="Times New Roman" w:eastAsia="Times New Roman" w:hAnsi="Times New Roman" w:cs="Times New Roman"/>
          <w:sz w:val="28"/>
          <w:lang w:val="ru-RU"/>
        </w:rPr>
        <w:t xml:space="preserve"> кВт биметалл (алюминий) жылыту радиаторын орнату;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2.12. МЕМСТ 31311-2005 стандартына сәйкес келетін, осьаралық қашықтығы 500 мм және бір секциясының жылу беру қуаты 180 Вт дейінгі биметалл жылыту радиаторларын жеткізу - 40 секция;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2.13. МЕМСТ 21345-2005 с</w:t>
      </w:r>
      <w:r w:rsidRPr="00EE5B4F">
        <w:rPr>
          <w:rFonts w:ascii="Times New Roman" w:eastAsia="Times New Roman" w:hAnsi="Times New Roman" w:cs="Times New Roman"/>
          <w:sz w:val="28"/>
          <w:lang w:val="ru-RU"/>
        </w:rPr>
        <w:t xml:space="preserve">тандартына сәйкес келетін, </w:t>
      </w:r>
      <w:r>
        <w:rPr>
          <w:rFonts w:ascii="Times New Roman" w:eastAsia="Times New Roman" w:hAnsi="Times New Roman" w:cs="Times New Roman"/>
          <w:sz w:val="28"/>
        </w:rPr>
        <w:t>DN</w:t>
      </w:r>
      <w:r w:rsidRPr="00EE5B4F">
        <w:rPr>
          <w:rFonts w:ascii="Times New Roman" w:eastAsia="Times New Roman" w:hAnsi="Times New Roman" w:cs="Times New Roman"/>
          <w:sz w:val="28"/>
          <w:lang w:val="ru-RU"/>
        </w:rPr>
        <w:t xml:space="preserve"> 20 өлшемді, рычагты тұтқасы бар, суға, буға және бейтарап сұйықтықтарға арналған, +150 °</w:t>
      </w:r>
      <w:r>
        <w:rPr>
          <w:rFonts w:ascii="Times New Roman" w:eastAsia="Times New Roman" w:hAnsi="Times New Roman" w:cs="Times New Roman"/>
          <w:sz w:val="28"/>
        </w:rPr>
        <w:t>C</w:t>
      </w:r>
      <w:r w:rsidRPr="00EE5B4F">
        <w:rPr>
          <w:rFonts w:ascii="Times New Roman" w:eastAsia="Times New Roman" w:hAnsi="Times New Roman" w:cs="Times New Roman"/>
          <w:sz w:val="28"/>
          <w:lang w:val="ru-RU"/>
        </w:rPr>
        <w:t xml:space="preserve">-қа дейінгі температураға және </w:t>
      </w:r>
      <w:r>
        <w:rPr>
          <w:rFonts w:ascii="Times New Roman" w:eastAsia="Times New Roman" w:hAnsi="Times New Roman" w:cs="Times New Roman"/>
          <w:sz w:val="28"/>
        </w:rPr>
        <w:t>PN</w:t>
      </w:r>
      <w:r w:rsidRPr="00EE5B4F">
        <w:rPr>
          <w:rFonts w:ascii="Times New Roman" w:eastAsia="Times New Roman" w:hAnsi="Times New Roman" w:cs="Times New Roman"/>
          <w:sz w:val="28"/>
          <w:lang w:val="ru-RU"/>
        </w:rPr>
        <w:t xml:space="preserve"> 25 қысымына есептелген, латуннан жасалған муфталы шарлы крандарды (ішкі-ішкі бұранда) жеткізу - 8 дана;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2.14. Ішкі блогының қуаты 5 кВт дейінгі қабырғаға орнатылатын сплит-жүйені монтаждау - 1 сплит-жүйе;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lastRenderedPageBreak/>
        <w:t>2.15. Суық өндіру қуаты 2,1 кВт, жылу өндіру қуаты 2,8 кВт болатын, ішкі және сыртқы блоктардан тұратын сплит-жүйені жеткізу - 1 дана.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b/>
          <w:sz w:val="28"/>
          <w:lang w:val="ru-RU"/>
        </w:rPr>
        <w:t>3. Блок-модульдік ғ</w:t>
      </w:r>
      <w:r w:rsidRPr="00EE5B4F">
        <w:rPr>
          <w:rFonts w:ascii="Times New Roman" w:eastAsia="Times New Roman" w:hAnsi="Times New Roman" w:cs="Times New Roman"/>
          <w:b/>
          <w:sz w:val="28"/>
          <w:lang w:val="ru-RU"/>
        </w:rPr>
        <w:t>имарат (БМ)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3.1. Бұзылған учаскелерді тазалауды қоса алғанда, қолданыстағы іргетастың қираған бөліктерін бөлшектеу - 12 м²;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3.2. Тегіс плиталардың астына бетон іргетастар орнату - 0,5 м³;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3.3. Қалыңдығы 150 мм, В15 класты ауыр бетоннан жасалған, қиыршықтас</w:t>
      </w:r>
      <w:r w:rsidRPr="00EE5B4F">
        <w:rPr>
          <w:rFonts w:ascii="Times New Roman" w:eastAsia="Times New Roman" w:hAnsi="Times New Roman" w:cs="Times New Roman"/>
          <w:sz w:val="28"/>
          <w:lang w:val="ru-RU"/>
        </w:rPr>
        <w:t>ты төсем қабатының үстіне бетонды отмостка орнату - 16 м².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b/>
          <w:sz w:val="28"/>
          <w:lang w:val="ru-RU"/>
        </w:rPr>
        <w:t>Жұмыстарды орындауға қойылатын техникалық талаптар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Мердігер жұмыстарды осы техникалық ерекшелікте көзделген көлемде және құрамда орындауға міндетті.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Қолданылатын материалдар мен жабдықтар осы техни</w:t>
      </w:r>
      <w:r w:rsidRPr="00EE5B4F">
        <w:rPr>
          <w:rFonts w:ascii="Times New Roman" w:eastAsia="Times New Roman" w:hAnsi="Times New Roman" w:cs="Times New Roman"/>
          <w:sz w:val="28"/>
          <w:lang w:val="ru-RU"/>
        </w:rPr>
        <w:t>калық ерекшелікте көрсетілген техникалық сипаттамаларға, тиісті МЕМСТ стандарттарының және нормативтік құжаттардың талаптарына сәйкес болуы тиіс.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Жұмыстар еңбек қауіпсіздігі, техника қауіпсіздігі, өрт қауіпсіздігі талаптарын және жөндеу-монтаждау жұмыстары</w:t>
      </w:r>
      <w:r w:rsidRPr="00EE5B4F">
        <w:rPr>
          <w:rFonts w:ascii="Times New Roman" w:eastAsia="Times New Roman" w:hAnsi="Times New Roman" w:cs="Times New Roman"/>
          <w:sz w:val="28"/>
          <w:lang w:val="ru-RU"/>
        </w:rPr>
        <w:t>н жүргізу қағидаларын сақтай отырып орындалуы тиіс.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Жұмыстар басталғанға дейін Мердігер жұмыстарды жүргізу тәртібін, жабдықтарды орналастыруды және құбыржолдарды төсеу бағытын Тапсырыс берушімен келісуі тиіс.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Жұмыстар аяқталғаннан кейін Мердігер орнатылған жабдықтың жұмысқа жарамдылығын, жылыту жүйесінің қосылыстарының герметикалығын және орындалған жөндеу жұмыстарының сапасын тексеруі тиіс.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b/>
          <w:sz w:val="28"/>
          <w:lang w:val="ru-RU"/>
        </w:rPr>
        <w:t>Жұмыстардың сапасына және нәтижесіне қойылатын талаптар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Барлық жұмыста</w:t>
      </w:r>
      <w:r w:rsidRPr="00EE5B4F">
        <w:rPr>
          <w:rFonts w:ascii="Times New Roman" w:eastAsia="Times New Roman" w:hAnsi="Times New Roman" w:cs="Times New Roman"/>
          <w:sz w:val="28"/>
          <w:lang w:val="ru-RU"/>
        </w:rPr>
        <w:t>р сапалы, толық көлемде және осы техникалық ерекшелікке сәйкес орындалуы тиіс.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Орнатылған жылыту жабдықтары, циркуляциялық сорғы, кеңейту багы, радиаторлар, құбыржолдар және сплит-жүйе өндірушілердің талаптары мен тиісті техникалық нормаларды сақтай отырып</w:t>
      </w:r>
      <w:r w:rsidRPr="00EE5B4F">
        <w:rPr>
          <w:rFonts w:ascii="Times New Roman" w:eastAsia="Times New Roman" w:hAnsi="Times New Roman" w:cs="Times New Roman"/>
          <w:sz w:val="28"/>
          <w:lang w:val="ru-RU"/>
        </w:rPr>
        <w:t xml:space="preserve"> монтаждалуы тиіс.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Монтаждау аяқталғаннан кейін жылыту жүйесінің жұмысқа жарамдылығы және қосылыстарының герметикалығы тексерілуі тиіс.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Бетон конструкциялары мен төсеніші жобалық шешімдерде көзделген талаптарға, бетонның қалыңдығы мен класына сәйкес орында</w:t>
      </w:r>
      <w:r w:rsidRPr="00EE5B4F">
        <w:rPr>
          <w:rFonts w:ascii="Times New Roman" w:eastAsia="Times New Roman" w:hAnsi="Times New Roman" w:cs="Times New Roman"/>
          <w:sz w:val="28"/>
          <w:lang w:val="ru-RU"/>
        </w:rPr>
        <w:t>луы тиіс.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Жұмыстар аяқталғаннан кейін Мердігер жұмыс барысында пайда болған құрылыс қоқыстарын жинап, объектіні Тапсырыс берушіге тапсыруға міндетті.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b/>
          <w:sz w:val="28"/>
          <w:lang w:val="ru-RU"/>
        </w:rPr>
        <w:t>Жұмыстарды тапсыру және қабылдау тәртібі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Орындалған жұмыстарды қабылдауды Тапсырыс берушінің өкілі нақты о</w:t>
      </w:r>
      <w:r w:rsidRPr="00EE5B4F">
        <w:rPr>
          <w:rFonts w:ascii="Times New Roman" w:eastAsia="Times New Roman" w:hAnsi="Times New Roman" w:cs="Times New Roman"/>
          <w:sz w:val="28"/>
          <w:lang w:val="ru-RU"/>
        </w:rPr>
        <w:t>рындалған жұмыстардың көлемі мен сапасының техникалық ерекшелік талаптарына сәйкестігін тексергеннен кейін жүзеге асырады.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Мердігер орындалған жұмыстарды растайтын құжаттарды, сондай-ақ шартта көзделген жағдайда орнатылған жабдықтар мен пайдаланылған матер</w:t>
      </w:r>
      <w:r w:rsidRPr="00EE5B4F">
        <w:rPr>
          <w:rFonts w:ascii="Times New Roman" w:eastAsia="Times New Roman" w:hAnsi="Times New Roman" w:cs="Times New Roman"/>
          <w:sz w:val="28"/>
          <w:lang w:val="ru-RU"/>
        </w:rPr>
        <w:t>иалдарға қатысты құжаттарды ұсынады.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Жұмыстар анықталған кемшіліктер жойылып, тараптар тиісті қабылдау құжаттарына қол қойғаннан кейін орындалған болып есептеледі.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b/>
          <w:sz w:val="28"/>
          <w:lang w:val="ru-RU"/>
        </w:rPr>
        <w:t>Кепілдік міндеттемелер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EE5B4F">
        <w:rPr>
          <w:rFonts w:ascii="Times New Roman" w:eastAsia="Times New Roman" w:hAnsi="Times New Roman" w:cs="Times New Roman"/>
          <w:sz w:val="28"/>
          <w:lang w:val="ru-RU"/>
        </w:rPr>
        <w:t>Орындалған жұмыстарға кепілдік мерзімі - 12 ай. Мердігер Қазақстан Ре</w:t>
      </w:r>
      <w:r w:rsidRPr="00EE5B4F">
        <w:rPr>
          <w:rFonts w:ascii="Times New Roman" w:eastAsia="Times New Roman" w:hAnsi="Times New Roman" w:cs="Times New Roman"/>
          <w:sz w:val="28"/>
          <w:lang w:val="ru-RU"/>
        </w:rPr>
        <w:t xml:space="preserve">спубликасының заңнамасында және шартта көзделген кепілдік міндеттемелер </w:t>
      </w:r>
      <w:r w:rsidRPr="00EE5B4F">
        <w:rPr>
          <w:rFonts w:ascii="Times New Roman" w:eastAsia="Times New Roman" w:hAnsi="Times New Roman" w:cs="Times New Roman"/>
          <w:sz w:val="28"/>
          <w:lang w:val="ru-RU"/>
        </w:rPr>
        <w:lastRenderedPageBreak/>
        <w:t>шегінде орындалған жұмыстардың және орнатылған жабдықтардың сапасына жауапты болады.</w:t>
      </w:r>
    </w:p>
    <w:p w:rsidR="00CC7193" w:rsidRPr="00EE5B4F" w:rsidRDefault="00CC719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highlight w:val="white"/>
          <w:lang w:val="ru-RU"/>
        </w:rPr>
      </w:pP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highlight w:val="white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highlight w:val="white"/>
        </w:rPr>
        <w:t> </w:t>
      </w:r>
    </w:p>
    <w:p w:rsidR="00CC7193" w:rsidRDefault="00CC7193">
      <w:pPr>
        <w:pStyle w:val="af2"/>
        <w:jc w:val="both"/>
        <w:rPr>
          <w:rFonts w:ascii="Times New Roman" w:eastAsia="Times New Roman" w:hAnsi="Times New Roman" w:cs="Times New Roman"/>
          <w:b/>
          <w:color w:val="000000"/>
          <w:sz w:val="28"/>
          <w:highlight w:val="white"/>
        </w:rPr>
      </w:pPr>
    </w:p>
    <w:p w:rsidR="00EE5B4F" w:rsidRPr="00EE5B4F" w:rsidRDefault="00EE5B4F">
      <w:pPr>
        <w:pStyle w:val="af2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</w:p>
    <w:p w:rsidR="00CC7193" w:rsidRDefault="00CC7193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EE5B4F" w:rsidRDefault="00EE5B4F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CC7193" w:rsidRDefault="00CC7193">
      <w:pPr>
        <w:pStyle w:val="af2"/>
        <w:jc w:val="center"/>
        <w:rPr>
          <w:rFonts w:ascii="Times New Roman" w:eastAsia="Times New Roman" w:hAnsi="Times New Roman" w:cs="Times New Roman"/>
          <w:highlight w:val="white"/>
        </w:rPr>
      </w:pPr>
    </w:p>
    <w:p w:rsidR="00CC7193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Техническая спецификация государственных закупок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 </w:t>
      </w:r>
      <w:r w:rsidRPr="00EE5B4F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текущий ремонт блок-модуля МС Екидин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highlight w:val="white"/>
        </w:rPr>
        <w:t> </w:t>
      </w:r>
    </w:p>
    <w:p w:rsidR="00CC7193" w:rsidRPr="00EE5B4F" w:rsidRDefault="000D3A3A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highlight w:val="white"/>
          <w:lang w:val="ru-RU"/>
        </w:rPr>
      </w:pPr>
      <w:r w:rsidRPr="00EE5B4F">
        <w:rPr>
          <w:rFonts w:ascii="Times New Roman" w:eastAsia="Times New Roman" w:hAnsi="Times New Roman" w:cs="Times New Roman"/>
          <w:b/>
          <w:color w:val="000000"/>
          <w:sz w:val="28"/>
          <w:highlight w:val="white"/>
          <w:lang w:val="ru-RU"/>
        </w:rPr>
        <w:t xml:space="preserve">Наименование работ: 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Текущий ремонт блок-модуля МС Екидин.</w:t>
      </w:r>
    </w:p>
    <w:p w:rsidR="00CC7193" w:rsidRPr="00EE5B4F" w:rsidRDefault="000D3A3A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highlight w:val="white"/>
          <w:lang w:val="ru-RU"/>
        </w:rPr>
      </w:pPr>
      <w:r w:rsidRPr="00EE5B4F">
        <w:rPr>
          <w:rFonts w:ascii="Times New Roman" w:eastAsia="Times New Roman" w:hAnsi="Times New Roman" w:cs="Times New Roman"/>
          <w:b/>
          <w:color w:val="000000"/>
          <w:sz w:val="28"/>
          <w:highlight w:val="white"/>
          <w:lang w:val="ru-RU"/>
        </w:rPr>
        <w:t>Сроки оказания работ: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в течение 30 календарных дней с момента подписания договора.</w:t>
      </w:r>
    </w:p>
    <w:p w:rsidR="00CC7193" w:rsidRPr="00EE5B4F" w:rsidRDefault="000D3A3A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highlight w:val="white"/>
          <w:lang w:val="ru-RU"/>
        </w:rPr>
      </w:pPr>
      <w:r w:rsidRPr="00EE5B4F">
        <w:rPr>
          <w:rFonts w:ascii="Times New Roman" w:eastAsia="Times New Roman" w:hAnsi="Times New Roman" w:cs="Times New Roman"/>
          <w:b/>
          <w:color w:val="000000"/>
          <w:sz w:val="28"/>
          <w:highlight w:val="white"/>
          <w:lang w:val="ru-RU"/>
        </w:rPr>
        <w:t xml:space="preserve">Место оказания работ: </w:t>
      </w:r>
      <w:r w:rsidRPr="00EE5B4F">
        <w:rPr>
          <w:rFonts w:ascii="Times New Roman" w:eastAsia="Times New Roman" w:hAnsi="Times New Roman" w:cs="Times New Roman"/>
          <w:color w:val="000000"/>
          <w:sz w:val="28"/>
          <w:highlight w:val="white"/>
          <w:lang w:val="ru-RU"/>
        </w:rPr>
        <w:t>Костанайская область, г. Аркалык, с. Екидин.</w:t>
      </w:r>
    </w:p>
    <w:p w:rsidR="00CC7193" w:rsidRPr="00EE5B4F" w:rsidRDefault="000D3A3A">
      <w:pPr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highlight w:val="white"/>
          <w:lang w:val="ru-RU"/>
        </w:rPr>
      </w:pPr>
      <w:r w:rsidRPr="00EE5B4F">
        <w:rPr>
          <w:rFonts w:ascii="Times New Roman" w:eastAsia="Times New Roman" w:hAnsi="Times New Roman" w:cs="Times New Roman"/>
          <w:b/>
          <w:color w:val="000000"/>
          <w:sz w:val="28"/>
          <w:highlight w:val="white"/>
          <w:lang w:val="ru-RU"/>
        </w:rPr>
        <w:t>Функциональные, технические, качественные, эксплуатационные и прочие характеристики работ: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Выполнение текущего ремонта метеорологической станции Екидин включая восстановление уплотнения оконных блоков, устройство системы отопления, установку отопительного оборудования и сплит-системы, а также выполнение ремонтных работ по блочно-модульному здани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ю (БМ).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Ремонтные работы: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1. Окна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1.1. Произвести замену резинового уплотнителя на рамах оконных и дверных блоков - 13,6 м;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1.2. Произвести замену рамного уплотнителя оконного притвора - 13,6 м;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1.3. Выполнить установку антимоскитной сетки общей площадью -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4 м².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2. Отопление и вентиляция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2.1. Выполнить установку электрического котла с подключением к электросети - 1 комплект;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2.2. Поставить электрический котел мощностью 6 кВт - 1 комплект;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2.3. Выполнить установку циркуляционного насоса с мокрым ротором на р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езьбовых соединениях диаметром до 25 мм - 1 шт.;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2.4. Поставить циркуляционный насос - 1 шт.;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2.5. Выполнить установку расширительного бака круглого или прямоугольного исполнения вместимостью не более 0,1 м³ - 1 бак;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2.6. Выполнить прокладку трубопровода отопления из полимерных труб на сварных соединениях в раструб диаметром 32 мм - 30 м трубопровода;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2.7. Поставить трубу напорную из полипропилена </w:t>
      </w:r>
      <w:r>
        <w:rPr>
          <w:rFonts w:ascii="Times New Roman" w:eastAsia="Times New Roman" w:hAnsi="Times New Roman" w:cs="Times New Roman"/>
          <w:color w:val="000000"/>
          <w:sz w:val="28"/>
        </w:rPr>
        <w:t>PP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</w:rPr>
        <w:t>R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для системы отопления, соответствующая ГОСТ 32415-2013, наружным ди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аметром 32 мм - 30 м;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2.8. Выполнить прокладку трубопровода отопления из полимерных труб на сварных соединениях в раструб диаметром 20 мм - 2 м трубопровода;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2.9. Поставить трубу напорную из полипропилена </w:t>
      </w:r>
      <w:r>
        <w:rPr>
          <w:rFonts w:ascii="Times New Roman" w:eastAsia="Times New Roman" w:hAnsi="Times New Roman" w:cs="Times New Roman"/>
          <w:color w:val="000000"/>
          <w:sz w:val="28"/>
        </w:rPr>
        <w:t>PP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</w:rPr>
        <w:t>R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для системы отопления, соответствующая ГОСТ 32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415-2013, наружным диаметром 20 мм - 2 м;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2.10. Поставить фасонные и соединительные части к полимерным трубам - 20 шт.;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2.11. Выполнить установку биметаллического (алюминиевого) радиатора отопления общей мощностью - 6,4 кВт.;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2.12. Поставить биметаллически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е радиаторы отопления по ГОСТ 31311-2005, с межосевым расстоянием 500 мм и теплоотдачей до 180 Вт на секцию - 40 секций;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2.13. Поставить шаровые латунные муфтовые краны (В-В) с рычажной рукояткой, для воды, пара и нейтральных жидкостей, температурой до +15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0 °</w:t>
      </w:r>
      <w:r>
        <w:rPr>
          <w:rFonts w:ascii="Times New Roman" w:eastAsia="Times New Roman" w:hAnsi="Times New Roman" w:cs="Times New Roman"/>
          <w:color w:val="000000"/>
          <w:sz w:val="28"/>
        </w:rPr>
        <w:t>C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</w:rPr>
        <w:t>PN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25, по ГОСТ 21345-2005, </w:t>
      </w:r>
      <w:r>
        <w:rPr>
          <w:rFonts w:ascii="Times New Roman" w:eastAsia="Times New Roman" w:hAnsi="Times New Roman" w:cs="Times New Roman"/>
          <w:color w:val="000000"/>
          <w:sz w:val="28"/>
        </w:rPr>
        <w:t>DN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20 - 8 шт.;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2.14. Выполнить установку настенной сплит-системы с внутренним блоком мощностью до 5 кВт - 1 сплит-система.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lastRenderedPageBreak/>
        <w:t>2.15. Поставить сплит-систему с холодопроизводительностью 2,1 кВт, теплопроизводительностью 2,8 кВт,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состоящую из внутреннего и наружного блоков - 1 шт.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3. Блочно-модульное здание (БМ)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3.1. Выполнить разборка разрушенных участков существующего основания, включая расчистку разрушенных участков, - 12 м².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3.2. Выполнить устройство бетонных фундаментов под п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лоские плиты - 0,5 м³.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3.3. Выполнить устройство бетонной отмостки по щебеночному подстилающему слою из тяжелого бетона класса В15 толщиной 150 мм - 16 м².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Технические требования к выполнению работ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Подрядчик обязан выполнить работы в объемах и составе, пре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дусмотренных настоящей технической спецификацией.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Применяемые материалы и оборудование должны соответствовать техническим характеристикам указанной в настоящей технической спецификацией, требованиям соответствующих ГОСТ и нормативных документов.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Работы дол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жны выполняться с соблюдением требований охраны труда, техники безопасности, пожарной безопасности и правил проведения ремонтно-монтажных работ.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До начала работ Подрядчик должен согласовать с Заказчиком порядок проведения работ, размещение оборудования и п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рокладку трубопроводов.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После завершения работ Подрядчик должен проверить работоспособность установленного оборудования, герметичность соединений системы отопления и качество выполненных ремонтных работ.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Требования к качеству и результату работ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Все работы должны быть выполнены качественно, в полном объеме и в соответствии с настоящей технической спецификацией.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Установленное отопительное оборудование, циркуляционный насос, расширительный бак, радиаторы, трубопроводы и сплит-система должны быть смонтированы с соблюдением требований изготовителей и соответствующих технических норм.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Система отопления после монтажа д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олжна быть проверена на работоспособность и герметичность соединений.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Бетонные конструкции и отмостка должны быть выполнены с соблюдением предусмотренных проектных решений, толщины и класса бетона.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После окончания работ Подрядчик обязан убрать строительный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мусор, образовавшийся в процессе выполнения работ, и передать объект Заказчику.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Порядок сдачи и приемки работ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Приемка выполненных работ осуществляется представителем Заказчика после проверки соответствия фактических объемов и качества работ требованиям те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хнической спецификации.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Подрядчик предоставляет документы, подтверждающие выполнение работ, а также документы на установленное оборудование и использованные материалы, если их предоставление предусмотрено договором.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Работы считаются выполненными после устр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анения выявленных недостатков и подписания сторонами соответствующих документов о приемке.</w:t>
      </w:r>
    </w:p>
    <w:p w:rsidR="00CC7193" w:rsidRPr="00EE5B4F" w:rsidRDefault="000D3A3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Гарантийные обязательства</w:t>
      </w:r>
    </w:p>
    <w:p w:rsidR="00CC7193" w:rsidRPr="00EE5B4F" w:rsidRDefault="000D3A3A" w:rsidP="00EE5B4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lang w:val="ru-RU"/>
        </w:rPr>
      </w:pP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>Гарантийный срок на выполненые работы - 12 месяцев. Подрядчик несет ответственность за качество выполненных работ и установленного оборудов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ания в </w:t>
      </w:r>
      <w:r w:rsidRPr="00EE5B4F">
        <w:rPr>
          <w:rFonts w:ascii="Times New Roman" w:eastAsia="Times New Roman" w:hAnsi="Times New Roman" w:cs="Times New Roman"/>
          <w:color w:val="000000"/>
          <w:sz w:val="28"/>
          <w:lang w:val="ru-RU"/>
        </w:rPr>
        <w:lastRenderedPageBreak/>
        <w:t>пределах гарантийных обязательств, предусмотренных договором и законодательством Республики Казахстан.</w:t>
      </w:r>
      <w:bookmarkStart w:id="0" w:name="_GoBack"/>
      <w:bookmarkEnd w:id="0"/>
    </w:p>
    <w:p w:rsidR="00CC7193" w:rsidRPr="00EE5B4F" w:rsidRDefault="000D3A3A">
      <w:pPr>
        <w:pStyle w:val="af2"/>
        <w:jc w:val="both"/>
        <w:rPr>
          <w:rFonts w:ascii="Times New Roman" w:eastAsia="Times New Roman" w:hAnsi="Times New Roman" w:cs="Times New Roman"/>
          <w:highlight w:val="white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kk-KZ"/>
        </w:rPr>
        <w:t xml:space="preserve"> </w:t>
      </w:r>
    </w:p>
    <w:p w:rsidR="00CC7193" w:rsidRPr="00EE5B4F" w:rsidRDefault="000D3A3A">
      <w:pPr>
        <w:pStyle w:val="af2"/>
        <w:rPr>
          <w:rFonts w:ascii="Times New Roman" w:eastAsia="Times New Roman" w:hAnsi="Times New Roman" w:cs="Times New Roman"/>
          <w:highlight w:val="white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kk-KZ"/>
        </w:rPr>
        <w:t xml:space="preserve"> </w:t>
      </w:r>
    </w:p>
    <w:sectPr w:rsidR="00CC7193" w:rsidRPr="00EE5B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567" w:bottom="567" w:left="1134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A3A" w:rsidRDefault="000D3A3A">
      <w:pPr>
        <w:spacing w:after="0" w:line="240" w:lineRule="auto"/>
      </w:pPr>
      <w:r>
        <w:separator/>
      </w:r>
    </w:p>
  </w:endnote>
  <w:endnote w:type="continuationSeparator" w:id="0">
    <w:p w:rsidR="000D3A3A" w:rsidRDefault="000D3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auto"/>
    <w:pitch w:val="default"/>
  </w:font>
  <w:font w:name="Noto Sans CJK SC">
    <w:charset w:val="00"/>
    <w:family w:val="auto"/>
    <w:pitch w:val="default"/>
  </w:font>
  <w:font w:name="Lohit Devanagari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193" w:rsidRDefault="00CC7193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193" w:rsidRDefault="00CC7193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193" w:rsidRDefault="00CC7193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A3A" w:rsidRDefault="000D3A3A">
      <w:pPr>
        <w:spacing w:after="0" w:line="240" w:lineRule="auto"/>
      </w:pPr>
      <w:r>
        <w:separator/>
      </w:r>
    </w:p>
  </w:footnote>
  <w:footnote w:type="continuationSeparator" w:id="0">
    <w:p w:rsidR="000D3A3A" w:rsidRDefault="000D3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193" w:rsidRDefault="00CC7193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193" w:rsidRDefault="00CC7193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193" w:rsidRDefault="00CC719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539A0"/>
    <w:multiLevelType w:val="hybridMultilevel"/>
    <w:tmpl w:val="E1DE9B1E"/>
    <w:lvl w:ilvl="0" w:tplc="37F03C42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328A6470">
      <w:start w:val="1"/>
      <w:numFmt w:val="lowerLetter"/>
      <w:lvlText w:val="%2."/>
      <w:lvlJc w:val="left"/>
      <w:pPr>
        <w:ind w:left="1788" w:hanging="360"/>
      </w:pPr>
    </w:lvl>
    <w:lvl w:ilvl="2" w:tplc="BAEC86B8">
      <w:start w:val="1"/>
      <w:numFmt w:val="lowerRoman"/>
      <w:lvlText w:val="%3."/>
      <w:lvlJc w:val="right"/>
      <w:pPr>
        <w:ind w:left="2508" w:hanging="180"/>
      </w:pPr>
    </w:lvl>
    <w:lvl w:ilvl="3" w:tplc="E1B6ADAE">
      <w:start w:val="1"/>
      <w:numFmt w:val="decimal"/>
      <w:lvlText w:val="%4."/>
      <w:lvlJc w:val="left"/>
      <w:pPr>
        <w:ind w:left="3228" w:hanging="360"/>
      </w:pPr>
    </w:lvl>
    <w:lvl w:ilvl="4" w:tplc="722C60BA">
      <w:start w:val="1"/>
      <w:numFmt w:val="lowerLetter"/>
      <w:lvlText w:val="%5."/>
      <w:lvlJc w:val="left"/>
      <w:pPr>
        <w:ind w:left="3948" w:hanging="360"/>
      </w:pPr>
    </w:lvl>
    <w:lvl w:ilvl="5" w:tplc="21BEDB98">
      <w:start w:val="1"/>
      <w:numFmt w:val="lowerRoman"/>
      <w:lvlText w:val="%6."/>
      <w:lvlJc w:val="right"/>
      <w:pPr>
        <w:ind w:left="4668" w:hanging="180"/>
      </w:pPr>
    </w:lvl>
    <w:lvl w:ilvl="6" w:tplc="D59C5330">
      <w:start w:val="1"/>
      <w:numFmt w:val="decimal"/>
      <w:lvlText w:val="%7."/>
      <w:lvlJc w:val="left"/>
      <w:pPr>
        <w:ind w:left="5388" w:hanging="360"/>
      </w:pPr>
    </w:lvl>
    <w:lvl w:ilvl="7" w:tplc="B47C734A">
      <w:start w:val="1"/>
      <w:numFmt w:val="lowerLetter"/>
      <w:lvlText w:val="%8."/>
      <w:lvlJc w:val="left"/>
      <w:pPr>
        <w:ind w:left="6108" w:hanging="360"/>
      </w:pPr>
    </w:lvl>
    <w:lvl w:ilvl="8" w:tplc="80F838CE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B1B3016"/>
    <w:multiLevelType w:val="hybridMultilevel"/>
    <w:tmpl w:val="DE169B56"/>
    <w:lvl w:ilvl="0" w:tplc="C8A057F4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B412C67C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329ACAF0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F5B25042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563CC618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015A1AE6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2DA2FEEA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2138D6BC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99D29742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6FB5426"/>
    <w:multiLevelType w:val="hybridMultilevel"/>
    <w:tmpl w:val="FFC61104"/>
    <w:lvl w:ilvl="0" w:tplc="04A0E166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B1CC78CA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80D02430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9B36ED48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786C378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126073FE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575E1758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E7C05B1C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D4D6CFF2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F786A70"/>
    <w:multiLevelType w:val="hybridMultilevel"/>
    <w:tmpl w:val="49722E82"/>
    <w:lvl w:ilvl="0" w:tplc="9B1ACA52">
      <w:start w:val="1"/>
      <w:numFmt w:val="bullet"/>
      <w:lvlText w:val="–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3B103B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6E0FB24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AB2BC4A">
      <w:start w:val="1"/>
      <w:numFmt w:val="bullet"/>
      <w:lvlText w:val=""/>
      <w:lvlJc w:val="left"/>
      <w:pPr>
        <w:ind w:left="2880" w:hanging="360"/>
      </w:pPr>
      <w:rPr>
        <w:rFonts w:ascii="Wingdings" w:eastAsia="Wingdings" w:hAnsi="Wingdings" w:cs="Wingdings" w:hint="default"/>
      </w:rPr>
    </w:lvl>
    <w:lvl w:ilvl="4" w:tplc="03761B36">
      <w:start w:val="1"/>
      <w:numFmt w:val="bullet"/>
      <w:lvlText w:val=""/>
      <w:lvlJc w:val="left"/>
      <w:pPr>
        <w:ind w:left="3600" w:hanging="360"/>
      </w:pPr>
      <w:rPr>
        <w:rFonts w:ascii="Wingdings" w:eastAsia="Wingdings" w:hAnsi="Wingdings" w:cs="Wingdings" w:hint="default"/>
      </w:rPr>
    </w:lvl>
    <w:lvl w:ilvl="5" w:tplc="6534D694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2A43C62">
      <w:start w:val="1"/>
      <w:numFmt w:val="bullet"/>
      <w:lvlText w:val=""/>
      <w:lvlJc w:val="left"/>
      <w:pPr>
        <w:ind w:left="5040" w:hanging="360"/>
      </w:pPr>
      <w:rPr>
        <w:rFonts w:ascii="Wingdings" w:eastAsia="Wingdings" w:hAnsi="Wingdings" w:cs="Wingdings" w:hint="default"/>
      </w:rPr>
    </w:lvl>
    <w:lvl w:ilvl="7" w:tplc="EC6A34B8">
      <w:start w:val="1"/>
      <w:numFmt w:val="bullet"/>
      <w:lvlText w:val=""/>
      <w:lvlJc w:val="left"/>
      <w:pPr>
        <w:ind w:left="5760" w:hanging="360"/>
      </w:pPr>
      <w:rPr>
        <w:rFonts w:ascii="Wingdings" w:eastAsia="Wingdings" w:hAnsi="Wingdings" w:cs="Wingdings" w:hint="default"/>
      </w:rPr>
    </w:lvl>
    <w:lvl w:ilvl="8" w:tplc="F76ECC6E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0F15501"/>
    <w:multiLevelType w:val="hybridMultilevel"/>
    <w:tmpl w:val="7AB00F5A"/>
    <w:lvl w:ilvl="0" w:tplc="665EB672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BB066FA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64C7C2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076B0FA">
      <w:start w:val="1"/>
      <w:numFmt w:val="bullet"/>
      <w:lvlText w:val=""/>
      <w:lvlJc w:val="left"/>
      <w:pPr>
        <w:ind w:left="2880" w:hanging="360"/>
      </w:pPr>
      <w:rPr>
        <w:rFonts w:ascii="Wingdings" w:eastAsia="Wingdings" w:hAnsi="Wingdings" w:cs="Wingdings" w:hint="default"/>
      </w:rPr>
    </w:lvl>
    <w:lvl w:ilvl="4" w:tplc="EE4A4EE8">
      <w:start w:val="1"/>
      <w:numFmt w:val="bullet"/>
      <w:lvlText w:val=""/>
      <w:lvlJc w:val="left"/>
      <w:pPr>
        <w:ind w:left="3600" w:hanging="360"/>
      </w:pPr>
      <w:rPr>
        <w:rFonts w:ascii="Wingdings" w:eastAsia="Wingdings" w:hAnsi="Wingdings" w:cs="Wingdings" w:hint="default"/>
      </w:rPr>
    </w:lvl>
    <w:lvl w:ilvl="5" w:tplc="A4B08188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BC8A12A">
      <w:start w:val="1"/>
      <w:numFmt w:val="bullet"/>
      <w:lvlText w:val=""/>
      <w:lvlJc w:val="left"/>
      <w:pPr>
        <w:ind w:left="5040" w:hanging="360"/>
      </w:pPr>
      <w:rPr>
        <w:rFonts w:ascii="Wingdings" w:eastAsia="Wingdings" w:hAnsi="Wingdings" w:cs="Wingdings" w:hint="default"/>
      </w:rPr>
    </w:lvl>
    <w:lvl w:ilvl="7" w:tplc="3056DF70">
      <w:start w:val="1"/>
      <w:numFmt w:val="bullet"/>
      <w:lvlText w:val=""/>
      <w:lvlJc w:val="left"/>
      <w:pPr>
        <w:ind w:left="5760" w:hanging="360"/>
      </w:pPr>
      <w:rPr>
        <w:rFonts w:ascii="Wingdings" w:eastAsia="Wingdings" w:hAnsi="Wingdings" w:cs="Wingdings" w:hint="default"/>
      </w:rPr>
    </w:lvl>
    <w:lvl w:ilvl="8" w:tplc="73A2A0A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17D39BE"/>
    <w:multiLevelType w:val="hybridMultilevel"/>
    <w:tmpl w:val="C4B85502"/>
    <w:lvl w:ilvl="0" w:tplc="94DC1F56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78DE81DA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282217DC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BF5484A6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3EB07860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94B44668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50509914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14FA3708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BCA4653C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36BE43A2"/>
    <w:multiLevelType w:val="hybridMultilevel"/>
    <w:tmpl w:val="AAA2BA7E"/>
    <w:lvl w:ilvl="0" w:tplc="2BD045C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sz w:val="28"/>
      </w:rPr>
    </w:lvl>
    <w:lvl w:ilvl="1" w:tplc="30B847F2">
      <w:start w:val="1"/>
      <w:numFmt w:val="lowerLetter"/>
      <w:lvlText w:val="%2."/>
      <w:lvlJc w:val="left"/>
      <w:pPr>
        <w:ind w:left="1788" w:hanging="360"/>
      </w:pPr>
    </w:lvl>
    <w:lvl w:ilvl="2" w:tplc="96D264E6">
      <w:start w:val="1"/>
      <w:numFmt w:val="lowerRoman"/>
      <w:lvlText w:val="%3."/>
      <w:lvlJc w:val="right"/>
      <w:pPr>
        <w:ind w:left="2508" w:hanging="180"/>
      </w:pPr>
    </w:lvl>
    <w:lvl w:ilvl="3" w:tplc="23C6B396">
      <w:start w:val="1"/>
      <w:numFmt w:val="decimal"/>
      <w:lvlText w:val="%4."/>
      <w:lvlJc w:val="left"/>
      <w:pPr>
        <w:ind w:left="3228" w:hanging="360"/>
      </w:pPr>
    </w:lvl>
    <w:lvl w:ilvl="4" w:tplc="1EB0C990">
      <w:start w:val="1"/>
      <w:numFmt w:val="lowerLetter"/>
      <w:lvlText w:val="%5."/>
      <w:lvlJc w:val="left"/>
      <w:pPr>
        <w:ind w:left="3948" w:hanging="360"/>
      </w:pPr>
    </w:lvl>
    <w:lvl w:ilvl="5" w:tplc="2676EAD2">
      <w:start w:val="1"/>
      <w:numFmt w:val="lowerRoman"/>
      <w:lvlText w:val="%6."/>
      <w:lvlJc w:val="right"/>
      <w:pPr>
        <w:ind w:left="4668" w:hanging="180"/>
      </w:pPr>
    </w:lvl>
    <w:lvl w:ilvl="6" w:tplc="2892D086">
      <w:start w:val="1"/>
      <w:numFmt w:val="decimal"/>
      <w:lvlText w:val="%7."/>
      <w:lvlJc w:val="left"/>
      <w:pPr>
        <w:ind w:left="5388" w:hanging="360"/>
      </w:pPr>
    </w:lvl>
    <w:lvl w:ilvl="7" w:tplc="4F1AF358">
      <w:start w:val="1"/>
      <w:numFmt w:val="lowerLetter"/>
      <w:lvlText w:val="%8."/>
      <w:lvlJc w:val="left"/>
      <w:pPr>
        <w:ind w:left="6108" w:hanging="360"/>
      </w:pPr>
    </w:lvl>
    <w:lvl w:ilvl="8" w:tplc="25300FFE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F7A66BB"/>
    <w:multiLevelType w:val="hybridMultilevel"/>
    <w:tmpl w:val="AB94EA2E"/>
    <w:lvl w:ilvl="0" w:tplc="69A08AC2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B16059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1BEFB9E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4024AA8">
      <w:start w:val="1"/>
      <w:numFmt w:val="bullet"/>
      <w:lvlText w:val=""/>
      <w:lvlJc w:val="left"/>
      <w:pPr>
        <w:ind w:left="2880" w:hanging="360"/>
      </w:pPr>
      <w:rPr>
        <w:rFonts w:ascii="Wingdings" w:eastAsia="Wingdings" w:hAnsi="Wingdings" w:cs="Wingdings" w:hint="default"/>
      </w:rPr>
    </w:lvl>
    <w:lvl w:ilvl="4" w:tplc="8AECF26E">
      <w:start w:val="1"/>
      <w:numFmt w:val="bullet"/>
      <w:lvlText w:val=""/>
      <w:lvlJc w:val="left"/>
      <w:pPr>
        <w:ind w:left="3600" w:hanging="360"/>
      </w:pPr>
      <w:rPr>
        <w:rFonts w:ascii="Wingdings" w:eastAsia="Wingdings" w:hAnsi="Wingdings" w:cs="Wingdings" w:hint="default"/>
      </w:rPr>
    </w:lvl>
    <w:lvl w:ilvl="5" w:tplc="13A058B4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B32E1BE">
      <w:start w:val="1"/>
      <w:numFmt w:val="bullet"/>
      <w:lvlText w:val=""/>
      <w:lvlJc w:val="left"/>
      <w:pPr>
        <w:ind w:left="5040" w:hanging="360"/>
      </w:pPr>
      <w:rPr>
        <w:rFonts w:ascii="Wingdings" w:eastAsia="Wingdings" w:hAnsi="Wingdings" w:cs="Wingdings" w:hint="default"/>
      </w:rPr>
    </w:lvl>
    <w:lvl w:ilvl="7" w:tplc="DEF6388E">
      <w:start w:val="1"/>
      <w:numFmt w:val="bullet"/>
      <w:lvlText w:val=""/>
      <w:lvlJc w:val="left"/>
      <w:pPr>
        <w:ind w:left="5760" w:hanging="360"/>
      </w:pPr>
      <w:rPr>
        <w:rFonts w:ascii="Wingdings" w:eastAsia="Wingdings" w:hAnsi="Wingdings" w:cs="Wingdings" w:hint="default"/>
      </w:rPr>
    </w:lvl>
    <w:lvl w:ilvl="8" w:tplc="E6DADF62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42F85ECE"/>
    <w:multiLevelType w:val="hybridMultilevel"/>
    <w:tmpl w:val="BD8A0756"/>
    <w:lvl w:ilvl="0" w:tplc="C472D0D2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8E7CA47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456ABEC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42E86FC">
      <w:start w:val="1"/>
      <w:numFmt w:val="bullet"/>
      <w:lvlText w:val=""/>
      <w:lvlJc w:val="left"/>
      <w:pPr>
        <w:ind w:left="2880" w:hanging="360"/>
      </w:pPr>
      <w:rPr>
        <w:rFonts w:ascii="Wingdings" w:eastAsia="Wingdings" w:hAnsi="Wingdings" w:cs="Wingdings" w:hint="default"/>
      </w:rPr>
    </w:lvl>
    <w:lvl w:ilvl="4" w:tplc="158AC45A">
      <w:start w:val="1"/>
      <w:numFmt w:val="bullet"/>
      <w:lvlText w:val=""/>
      <w:lvlJc w:val="left"/>
      <w:pPr>
        <w:ind w:left="3600" w:hanging="360"/>
      </w:pPr>
      <w:rPr>
        <w:rFonts w:ascii="Wingdings" w:eastAsia="Wingdings" w:hAnsi="Wingdings" w:cs="Wingdings" w:hint="default"/>
      </w:rPr>
    </w:lvl>
    <w:lvl w:ilvl="5" w:tplc="6A9425B6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D86B34C">
      <w:start w:val="1"/>
      <w:numFmt w:val="bullet"/>
      <w:lvlText w:val=""/>
      <w:lvlJc w:val="left"/>
      <w:pPr>
        <w:ind w:left="5040" w:hanging="360"/>
      </w:pPr>
      <w:rPr>
        <w:rFonts w:ascii="Wingdings" w:eastAsia="Wingdings" w:hAnsi="Wingdings" w:cs="Wingdings" w:hint="default"/>
      </w:rPr>
    </w:lvl>
    <w:lvl w:ilvl="7" w:tplc="114264AC">
      <w:start w:val="1"/>
      <w:numFmt w:val="bullet"/>
      <w:lvlText w:val=""/>
      <w:lvlJc w:val="left"/>
      <w:pPr>
        <w:ind w:left="5760" w:hanging="360"/>
      </w:pPr>
      <w:rPr>
        <w:rFonts w:ascii="Wingdings" w:eastAsia="Wingdings" w:hAnsi="Wingdings" w:cs="Wingdings" w:hint="default"/>
      </w:rPr>
    </w:lvl>
    <w:lvl w:ilvl="8" w:tplc="8AC66C40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43071B95"/>
    <w:multiLevelType w:val="hybridMultilevel"/>
    <w:tmpl w:val="C8782970"/>
    <w:lvl w:ilvl="0" w:tplc="0DCCC8D4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125A49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1F65ABC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B0AC41A">
      <w:start w:val="1"/>
      <w:numFmt w:val="bullet"/>
      <w:lvlText w:val=""/>
      <w:lvlJc w:val="left"/>
      <w:pPr>
        <w:ind w:left="2880" w:hanging="360"/>
      </w:pPr>
      <w:rPr>
        <w:rFonts w:ascii="Wingdings" w:eastAsia="Wingdings" w:hAnsi="Wingdings" w:cs="Wingdings" w:hint="default"/>
      </w:rPr>
    </w:lvl>
    <w:lvl w:ilvl="4" w:tplc="CCE88FD6">
      <w:start w:val="1"/>
      <w:numFmt w:val="bullet"/>
      <w:lvlText w:val=""/>
      <w:lvlJc w:val="left"/>
      <w:pPr>
        <w:ind w:left="3600" w:hanging="360"/>
      </w:pPr>
      <w:rPr>
        <w:rFonts w:ascii="Wingdings" w:eastAsia="Wingdings" w:hAnsi="Wingdings" w:cs="Wingdings" w:hint="default"/>
      </w:rPr>
    </w:lvl>
    <w:lvl w:ilvl="5" w:tplc="6F605426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3E5DAA">
      <w:start w:val="1"/>
      <w:numFmt w:val="bullet"/>
      <w:lvlText w:val=""/>
      <w:lvlJc w:val="left"/>
      <w:pPr>
        <w:ind w:left="5040" w:hanging="360"/>
      </w:pPr>
      <w:rPr>
        <w:rFonts w:ascii="Wingdings" w:eastAsia="Wingdings" w:hAnsi="Wingdings" w:cs="Wingdings" w:hint="default"/>
      </w:rPr>
    </w:lvl>
    <w:lvl w:ilvl="7" w:tplc="C04CA82C">
      <w:start w:val="1"/>
      <w:numFmt w:val="bullet"/>
      <w:lvlText w:val=""/>
      <w:lvlJc w:val="left"/>
      <w:pPr>
        <w:ind w:left="5760" w:hanging="360"/>
      </w:pPr>
      <w:rPr>
        <w:rFonts w:ascii="Wingdings" w:eastAsia="Wingdings" w:hAnsi="Wingdings" w:cs="Wingdings" w:hint="default"/>
      </w:rPr>
    </w:lvl>
    <w:lvl w:ilvl="8" w:tplc="0D7239F2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5F1452A6"/>
    <w:multiLevelType w:val="hybridMultilevel"/>
    <w:tmpl w:val="000652BA"/>
    <w:lvl w:ilvl="0" w:tplc="3D10EF26">
      <w:start w:val="1"/>
      <w:numFmt w:val="bullet"/>
      <w:lvlText w:val="–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1E28347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9508296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3CE15FA">
      <w:start w:val="1"/>
      <w:numFmt w:val="bullet"/>
      <w:lvlText w:val=""/>
      <w:lvlJc w:val="left"/>
      <w:pPr>
        <w:ind w:left="2880" w:hanging="360"/>
      </w:pPr>
      <w:rPr>
        <w:rFonts w:ascii="Wingdings" w:eastAsia="Wingdings" w:hAnsi="Wingdings" w:cs="Wingdings" w:hint="default"/>
      </w:rPr>
    </w:lvl>
    <w:lvl w:ilvl="4" w:tplc="9318A43C">
      <w:start w:val="1"/>
      <w:numFmt w:val="bullet"/>
      <w:lvlText w:val=""/>
      <w:lvlJc w:val="left"/>
      <w:pPr>
        <w:ind w:left="3600" w:hanging="360"/>
      </w:pPr>
      <w:rPr>
        <w:rFonts w:ascii="Wingdings" w:eastAsia="Wingdings" w:hAnsi="Wingdings" w:cs="Wingdings" w:hint="default"/>
      </w:rPr>
    </w:lvl>
    <w:lvl w:ilvl="5" w:tplc="3490D8B8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70A450">
      <w:start w:val="1"/>
      <w:numFmt w:val="bullet"/>
      <w:lvlText w:val=""/>
      <w:lvlJc w:val="left"/>
      <w:pPr>
        <w:ind w:left="5040" w:hanging="360"/>
      </w:pPr>
      <w:rPr>
        <w:rFonts w:ascii="Wingdings" w:eastAsia="Wingdings" w:hAnsi="Wingdings" w:cs="Wingdings" w:hint="default"/>
      </w:rPr>
    </w:lvl>
    <w:lvl w:ilvl="7" w:tplc="17EAB6BA">
      <w:start w:val="1"/>
      <w:numFmt w:val="bullet"/>
      <w:lvlText w:val=""/>
      <w:lvlJc w:val="left"/>
      <w:pPr>
        <w:ind w:left="5760" w:hanging="360"/>
      </w:pPr>
      <w:rPr>
        <w:rFonts w:ascii="Wingdings" w:eastAsia="Wingdings" w:hAnsi="Wingdings" w:cs="Wingdings" w:hint="default"/>
      </w:rPr>
    </w:lvl>
    <w:lvl w:ilvl="8" w:tplc="8ADA3CD6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AC26346"/>
    <w:multiLevelType w:val="hybridMultilevel"/>
    <w:tmpl w:val="9508BF76"/>
    <w:lvl w:ilvl="0" w:tplc="99E8F00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BAEFE1A">
      <w:start w:val="1"/>
      <w:numFmt w:val="decimal"/>
      <w:lvlText w:val="%2."/>
      <w:lvlJc w:val="left"/>
      <w:pPr>
        <w:ind w:left="1440" w:hanging="360"/>
      </w:pPr>
    </w:lvl>
    <w:lvl w:ilvl="2" w:tplc="EDAC94E8">
      <w:start w:val="1"/>
      <w:numFmt w:val="decimal"/>
      <w:lvlText w:val="%3."/>
      <w:lvlJc w:val="left"/>
      <w:pPr>
        <w:ind w:left="2160" w:hanging="360"/>
      </w:pPr>
    </w:lvl>
    <w:lvl w:ilvl="3" w:tplc="05226A50">
      <w:start w:val="1"/>
      <w:numFmt w:val="decimal"/>
      <w:lvlText w:val="%4."/>
      <w:lvlJc w:val="left"/>
      <w:pPr>
        <w:ind w:left="2880" w:hanging="360"/>
      </w:pPr>
    </w:lvl>
    <w:lvl w:ilvl="4" w:tplc="1A1032D0">
      <w:start w:val="1"/>
      <w:numFmt w:val="decimal"/>
      <w:lvlText w:val="%5."/>
      <w:lvlJc w:val="left"/>
      <w:pPr>
        <w:ind w:left="3600" w:hanging="360"/>
      </w:pPr>
    </w:lvl>
    <w:lvl w:ilvl="5" w:tplc="A9D26498">
      <w:start w:val="1"/>
      <w:numFmt w:val="decimal"/>
      <w:lvlText w:val="%6."/>
      <w:lvlJc w:val="left"/>
      <w:pPr>
        <w:ind w:left="4320" w:hanging="360"/>
      </w:pPr>
    </w:lvl>
    <w:lvl w:ilvl="6" w:tplc="A356C524">
      <w:start w:val="1"/>
      <w:numFmt w:val="decimal"/>
      <w:lvlText w:val="%7."/>
      <w:lvlJc w:val="left"/>
      <w:pPr>
        <w:ind w:left="5040" w:hanging="360"/>
      </w:pPr>
    </w:lvl>
    <w:lvl w:ilvl="7" w:tplc="6E46F5F0">
      <w:start w:val="1"/>
      <w:numFmt w:val="decimal"/>
      <w:lvlText w:val="%8."/>
      <w:lvlJc w:val="left"/>
      <w:pPr>
        <w:ind w:left="5760" w:hanging="360"/>
      </w:pPr>
    </w:lvl>
    <w:lvl w:ilvl="8" w:tplc="8292895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7"/>
  </w:num>
  <w:num w:numId="6">
    <w:abstractNumId w:val="4"/>
  </w:num>
  <w:num w:numId="7">
    <w:abstractNumId w:val="11"/>
  </w:num>
  <w:num w:numId="8">
    <w:abstractNumId w:val="9"/>
  </w:num>
  <w:num w:numId="9">
    <w:abstractNumId w:val="8"/>
  </w:num>
  <w:num w:numId="10">
    <w:abstractNumId w:val="6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193"/>
    <w:rsid w:val="000D3A3A"/>
    <w:rsid w:val="00CC7193"/>
    <w:rsid w:val="00EE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A0855"/>
  <w15:docId w15:val="{E4ED2446-CEE7-4CDC-B2FF-39D1002A5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</w:rPr>
  </w:style>
  <w:style w:type="paragraph" w:styleId="1">
    <w:name w:val="heading 1"/>
    <w:basedOn w:val="a"/>
    <w:uiPriority w:val="9"/>
    <w:qFormat/>
    <w:pPr>
      <w:keepNext/>
      <w:keepLines/>
      <w:spacing w:before="480"/>
      <w:outlineLvl w:val="0"/>
    </w:pPr>
    <w:rPr>
      <w:sz w:val="40"/>
      <w:szCs w:val="40"/>
    </w:rPr>
  </w:style>
  <w:style w:type="paragraph" w:styleId="2">
    <w:name w:val="heading 2"/>
    <w:basedOn w:val="a"/>
    <w:uiPriority w:val="9"/>
    <w:unhideWhenUsed/>
    <w:qFormat/>
    <w:pPr>
      <w:keepNext/>
      <w:keepLines/>
      <w:spacing w:before="360"/>
      <w:outlineLvl w:val="1"/>
    </w:pPr>
    <w:rPr>
      <w:sz w:val="34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/>
      <w:outlineLvl w:val="2"/>
    </w:pPr>
    <w:rPr>
      <w:sz w:val="30"/>
      <w:szCs w:val="30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/>
      <w:outlineLvl w:val="3"/>
    </w:pPr>
    <w:rPr>
      <w:b/>
      <w:bCs/>
      <w:sz w:val="26"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/>
      <w:outlineLvl w:val="4"/>
    </w:pPr>
    <w:rPr>
      <w:b/>
      <w:bCs/>
      <w:sz w:val="24"/>
      <w:szCs w:val="24"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/>
      <w:outlineLvl w:val="5"/>
    </w:pPr>
    <w:rPr>
      <w:b/>
      <w:bCs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/>
      <w:outlineLvl w:val="6"/>
    </w:pPr>
    <w:rPr>
      <w:b/>
      <w:bCs/>
      <w:i/>
      <w:iCs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/>
      <w:outlineLvl w:val="7"/>
    </w:pPr>
    <w:rPr>
      <w:i/>
      <w:iCs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/>
      <w:outlineLvl w:val="8"/>
    </w:pPr>
    <w:rPr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unhideWhenUsed/>
    <w:rPr>
      <w:vertAlign w:val="superscript"/>
    </w:rPr>
  </w:style>
  <w:style w:type="character" w:styleId="a4">
    <w:name w:val="endnote reference"/>
    <w:basedOn w:val="a0"/>
    <w:uiPriority w:val="99"/>
    <w:semiHidden/>
    <w:unhideWhenUsed/>
    <w:rPr>
      <w:vertAlign w:val="superscript"/>
    </w:rPr>
  </w:style>
  <w:style w:type="paragraph" w:styleId="a5">
    <w:name w:val="table of figures"/>
    <w:basedOn w:val="a"/>
    <w:next w:val="a"/>
    <w:uiPriority w:val="99"/>
    <w:unhideWhenUsed/>
    <w:pPr>
      <w:spacing w:after="0"/>
    </w:pPr>
  </w:style>
  <w:style w:type="character" w:customStyle="1" w:styleId="FootnoteCharacters">
    <w:name w:val="Footnote Characters"/>
    <w:basedOn w:val="a0"/>
    <w:uiPriority w:val="99"/>
    <w:unhideWhenUsed/>
    <w:qFormat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aptionChar">
    <w:name w:val="Caption Char"/>
    <w:uiPriority w:val="99"/>
    <w:qFormat/>
  </w:style>
  <w:style w:type="character" w:styleId="a6">
    <w:name w:val="Hyperlink"/>
    <w:uiPriority w:val="99"/>
    <w:unhideWhenUsed/>
    <w:rPr>
      <w:color w:val="0563C1" w:themeColor="hyperlink"/>
      <w:u w:val="single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EndnoteTextChar">
    <w:name w:val="Endnote Text Char"/>
    <w:uiPriority w:val="99"/>
    <w:qFormat/>
    <w:rPr>
      <w:sz w:val="20"/>
    </w:rPr>
  </w:style>
  <w:style w:type="paragraph" w:customStyle="1" w:styleId="Heading">
    <w:name w:val="Heading"/>
    <w:basedOn w:val="a"/>
    <w:next w:val="a7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7">
    <w:name w:val="Body Text"/>
    <w:basedOn w:val="a"/>
    <w:pPr>
      <w:spacing w:after="140"/>
    </w:pPr>
  </w:style>
  <w:style w:type="paragraph" w:styleId="a8">
    <w:name w:val="List"/>
    <w:basedOn w:val="a7"/>
    <w:rPr>
      <w:rFonts w:cs="Lohit Devanagari"/>
    </w:rPr>
  </w:style>
  <w:style w:type="paragraph" w:styleId="a9">
    <w:name w:val="caption"/>
    <w:basedOn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a">
    <w:name w:val="Title"/>
    <w:basedOn w:val="a"/>
    <w:uiPriority w:val="10"/>
    <w:qFormat/>
    <w:pPr>
      <w:spacing w:before="300"/>
      <w:contextualSpacing/>
    </w:pPr>
    <w:rPr>
      <w:sz w:val="48"/>
      <w:szCs w:val="48"/>
    </w:rPr>
  </w:style>
  <w:style w:type="paragraph" w:styleId="ab">
    <w:name w:val="Subtitle"/>
    <w:basedOn w:val="a"/>
    <w:uiPriority w:val="11"/>
    <w:qFormat/>
    <w:pPr>
      <w:spacing w:before="200"/>
    </w:pPr>
    <w:rPr>
      <w:sz w:val="24"/>
      <w:szCs w:val="24"/>
    </w:rPr>
  </w:style>
  <w:style w:type="paragraph" w:styleId="20">
    <w:name w:val="Quote"/>
    <w:basedOn w:val="a"/>
    <w:uiPriority w:val="29"/>
    <w:qFormat/>
    <w:pPr>
      <w:ind w:left="720" w:right="720"/>
    </w:pPr>
    <w:rPr>
      <w:i/>
    </w:rPr>
  </w:style>
  <w:style w:type="paragraph" w:styleId="ac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paragraph" w:customStyle="1" w:styleId="HeaderandFooter">
    <w:name w:val="Header and Footer"/>
    <w:basedOn w:val="a"/>
    <w:qFormat/>
  </w:style>
  <w:style w:type="paragraph" w:styleId="ad">
    <w:name w:val="head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e">
    <w:name w:val="foot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">
    <w:name w:val="footnote text"/>
    <w:basedOn w:val="a"/>
    <w:uiPriority w:val="99"/>
    <w:semiHidden/>
    <w:unhideWhenUsed/>
    <w:pPr>
      <w:spacing w:after="40" w:line="240" w:lineRule="auto"/>
    </w:pPr>
    <w:rPr>
      <w:sz w:val="18"/>
    </w:rPr>
  </w:style>
  <w:style w:type="paragraph" w:styleId="af0">
    <w:name w:val="endnote text"/>
    <w:basedOn w:val="a"/>
    <w:uiPriority w:val="99"/>
    <w:semiHidden/>
    <w:unhideWhenUsed/>
    <w:pPr>
      <w:spacing w:after="0" w:line="240" w:lineRule="auto"/>
    </w:pPr>
    <w:rPr>
      <w:sz w:val="20"/>
    </w:rPr>
  </w:style>
  <w:style w:type="paragraph" w:styleId="10">
    <w:name w:val="toc 1"/>
    <w:basedOn w:val="a"/>
    <w:uiPriority w:val="39"/>
    <w:unhideWhenUsed/>
    <w:pPr>
      <w:spacing w:after="57"/>
    </w:pPr>
  </w:style>
  <w:style w:type="paragraph" w:styleId="21">
    <w:name w:val="toc 2"/>
    <w:basedOn w:val="a"/>
    <w:uiPriority w:val="39"/>
    <w:unhideWhenUsed/>
    <w:pPr>
      <w:spacing w:after="57"/>
      <w:ind w:left="283"/>
    </w:pPr>
  </w:style>
  <w:style w:type="paragraph" w:styleId="30">
    <w:name w:val="toc 3"/>
    <w:basedOn w:val="a"/>
    <w:uiPriority w:val="39"/>
    <w:unhideWhenUsed/>
    <w:pPr>
      <w:spacing w:after="57"/>
      <w:ind w:left="567"/>
    </w:pPr>
  </w:style>
  <w:style w:type="paragraph" w:styleId="40">
    <w:name w:val="toc 4"/>
    <w:basedOn w:val="a"/>
    <w:uiPriority w:val="39"/>
    <w:unhideWhenUsed/>
    <w:pPr>
      <w:spacing w:after="57"/>
      <w:ind w:left="850"/>
    </w:pPr>
  </w:style>
  <w:style w:type="paragraph" w:styleId="50">
    <w:name w:val="toc 5"/>
    <w:basedOn w:val="a"/>
    <w:uiPriority w:val="39"/>
    <w:unhideWhenUsed/>
    <w:pPr>
      <w:spacing w:after="57"/>
      <w:ind w:left="1134"/>
    </w:pPr>
  </w:style>
  <w:style w:type="paragraph" w:styleId="60">
    <w:name w:val="toc 6"/>
    <w:basedOn w:val="a"/>
    <w:uiPriority w:val="39"/>
    <w:unhideWhenUsed/>
    <w:pPr>
      <w:spacing w:after="57"/>
      <w:ind w:left="1417"/>
    </w:pPr>
  </w:style>
  <w:style w:type="paragraph" w:styleId="70">
    <w:name w:val="toc 7"/>
    <w:basedOn w:val="a"/>
    <w:uiPriority w:val="39"/>
    <w:unhideWhenUsed/>
    <w:pPr>
      <w:spacing w:after="57"/>
      <w:ind w:left="1701"/>
    </w:pPr>
  </w:style>
  <w:style w:type="paragraph" w:styleId="80">
    <w:name w:val="toc 8"/>
    <w:basedOn w:val="a"/>
    <w:uiPriority w:val="39"/>
    <w:unhideWhenUsed/>
    <w:pPr>
      <w:spacing w:after="57"/>
      <w:ind w:left="1984"/>
    </w:pPr>
  </w:style>
  <w:style w:type="paragraph" w:styleId="90">
    <w:name w:val="toc 9"/>
    <w:basedOn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  <w:qFormat/>
    <w:pPr>
      <w:spacing w:after="200" w:line="276" w:lineRule="auto"/>
    </w:pPr>
    <w:rPr>
      <w:sz w:val="22"/>
    </w:rPr>
  </w:style>
  <w:style w:type="paragraph" w:styleId="af2">
    <w:name w:val="No Spacing"/>
    <w:basedOn w:val="a"/>
    <w:uiPriority w:val="1"/>
    <w:qFormat/>
    <w:pPr>
      <w:spacing w:after="0" w:line="240" w:lineRule="auto"/>
    </w:p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table" w:styleId="af4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styleId="2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D7D31" w:themeColor="accent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C000" w:themeColor="accent4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FFFFFF" w:fill="FFFFFF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FFFFFF" w:fill="FFFFFF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FFFFFF" w:fill="FFFFFF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FFFFFF" w:fill="FFFFFF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FFFFFF" w:fill="FFFFFF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416429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bottom w:val="single" w:sz="4" w:space="0" w:color="ED7D31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bottom w:val="single" w:sz="4" w:space="0" w:color="A5A5A5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bottom w:val="single" w:sz="4" w:space="0" w:color="FFC000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bottom w:val="single" w:sz="4" w:space="0" w:color="4472C4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bottom w:val="single" w:sz="4" w:space="0" w:color="70AD47" w:themeColor="accent6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D7D31" w:themeColor="accent2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D7D31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D7D31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5A5A5" w:themeColor="accent3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5A5A5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5A5A5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FC000" w:themeColor="accent4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FC000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C000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472C4" w:themeColor="accent5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472C4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70AD47" w:themeColor="accent6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70AD47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0AD47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FFFFFF" w:fill="FFFFFF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FFFFFF" w:fill="FFFFFF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FFFFFF" w:fill="FFFFFF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FFFFFF" w:fill="FFFFFF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FFFFFF" w:fill="FFFFFF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ED7D31" w:themeColor="accent2"/>
        <w:insideV w:val="single" w:sz="4" w:space="0" w:color="ED7D31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A5A5A5" w:themeColor="accent3"/>
        <w:insideV w:val="single" w:sz="4" w:space="0" w:color="A5A5A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C000" w:themeColor="accent4"/>
        <w:insideV w:val="single" w:sz="4" w:space="0" w:color="FFC000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ED7D31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ED7D31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A5A5A5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A5A5A5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FC000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FC000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472C4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472C4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70AD47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70AD47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customStyle="1" w:styleId="SalemTable">
    <w:name w:val="SalemTable"/>
    <w:rPr>
      <w:rFonts w:ascii="Times New Roman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1624</Words>
  <Characters>9263</Characters>
  <Application>Microsoft Office Word</Application>
  <DocSecurity>0</DocSecurity>
  <Lines>77</Lines>
  <Paragraphs>21</Paragraphs>
  <ScaleCrop>false</ScaleCrop>
  <Company>SPecialiST RePack</Company>
  <LinksUpToDate>false</LinksUpToDate>
  <CharactersWithSpaces>10866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Kazhydromet_11</cp:lastModifiedBy>
  <cp:revision>29</cp:revision>
  <dcterms:created xsi:type="dcterms:W3CDTF">2026-10-27T04:52:00Z</dcterms:created>
  <dcterms:modified xsi:type="dcterms:W3CDTF">2026-10-27T04:53:00Z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false</vt:bool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ShareDoc">
    <vt:bool>false</vt:bool>
  </property>
</Properties>
</file>