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AE1CAF5">
      <w:pPr>
        <w:ind w:left="4962"/>
        <w:rPr>
          <w:lang w:val="kk-KZ"/>
        </w:rPr>
      </w:pPr>
      <w:r>
        <w:rPr>
          <w:lang w:val="kk-KZ"/>
        </w:rPr>
        <w:t xml:space="preserve">                  </w:t>
      </w:r>
    </w:p>
    <w:p w14:paraId="2D40B04B">
      <w:pPr>
        <w:shd w:val="clear" w:color="auto" w:fill="FFFFFF"/>
        <w:jc w:val="center"/>
        <w:rPr>
          <w:b/>
          <w:sz w:val="28"/>
          <w:szCs w:val="28"/>
          <w:lang w:val="kk-KZ"/>
        </w:rPr>
      </w:pPr>
      <w:r>
        <w:rPr>
          <w:b/>
          <w:sz w:val="28"/>
          <w:szCs w:val="28"/>
          <w:lang w:val="kk-KZ"/>
        </w:rPr>
        <w:t xml:space="preserve">Жұмыскерлерді еңбек (қызметтік) міндеттерін орындауы кезінде жазатайым оқиғалардан міндетті сақтандыру бойынша қызмет көрсетуге арналған техникалық сипаттама </w:t>
      </w:r>
    </w:p>
    <w:p w14:paraId="6AFBAF74">
      <w:pPr>
        <w:shd w:val="clear" w:color="auto" w:fill="FFFFFF"/>
        <w:jc w:val="center"/>
        <w:rPr>
          <w:b/>
          <w:sz w:val="28"/>
          <w:szCs w:val="28"/>
          <w:lang w:val="kk-KZ"/>
        </w:rPr>
      </w:pPr>
    </w:p>
    <w:tbl>
      <w:tblPr>
        <w:tblStyle w:val="5"/>
        <w:tblW w:w="1003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652"/>
        <w:gridCol w:w="6379"/>
      </w:tblGrid>
      <w:tr w14:paraId="3BC04A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1" w:hRule="atLeast"/>
        </w:trPr>
        <w:tc>
          <w:tcPr>
            <w:tcW w:w="3652" w:type="dxa"/>
            <w:noWrap w:val="0"/>
            <w:vAlign w:val="center"/>
          </w:tcPr>
          <w:p w14:paraId="1F5CB329">
            <w:r>
              <w:t>Сақтандыру түрі:</w:t>
            </w:r>
          </w:p>
        </w:tc>
        <w:tc>
          <w:tcPr>
            <w:tcW w:w="6379" w:type="dxa"/>
            <w:noWrap w:val="0"/>
            <w:vAlign w:val="center"/>
          </w:tcPr>
          <w:p w14:paraId="474536AA">
            <w:pPr>
              <w:pStyle w:val="15"/>
              <w:shd w:val="clear" w:color="auto" w:fill="FFFFFF"/>
              <w:rPr>
                <w:rFonts w:ascii="Times New Roman" w:hAnsi="Times New Roman"/>
                <w:sz w:val="24"/>
                <w:szCs w:val="24"/>
                <w:lang w:val="kk-KZ"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val="kk-KZ" w:eastAsia="en-US"/>
              </w:rPr>
              <w:t>2005 жылғы 7 ақпандағы № 30</w:t>
            </w:r>
            <w:r>
              <w:rPr>
                <w:rFonts w:ascii="Times New Roman" w:hAnsi="Times New Roman"/>
                <w:sz w:val="24"/>
                <w:szCs w:val="24"/>
                <w:lang w:val="ru-RU" w:eastAsia="en-US"/>
              </w:rPr>
              <w:t>-</w:t>
            </w:r>
            <w:r>
              <w:rPr>
                <w:rFonts w:ascii="Times New Roman" w:hAnsi="Times New Roman"/>
                <w:sz w:val="24"/>
                <w:szCs w:val="24"/>
                <w:lang w:val="en-US" w:eastAsia="en-US"/>
              </w:rPr>
              <w:t>III</w:t>
            </w:r>
            <w:r>
              <w:rPr>
                <w:rFonts w:ascii="Times New Roman" w:hAnsi="Times New Roman"/>
                <w:sz w:val="24"/>
                <w:szCs w:val="24"/>
                <w:lang w:val="kk-KZ" w:eastAsia="en-US"/>
              </w:rPr>
              <w:t xml:space="preserve"> «Еңбек (қызметтік) міндеттерін орындау кезінде қызметкерді жазатайым оқиғалардан міндетті сақтандыру туралы» Қазақстан Республикасы Заңына (бұдан әрі – Заң</w:t>
            </w:r>
            <w:r>
              <w:rPr>
                <w:rFonts w:ascii="Times New Roman" w:hAnsi="Times New Roman"/>
                <w:sz w:val="24"/>
                <w:szCs w:val="24"/>
                <w:lang w:val="ru-RU" w:eastAsia="en-US"/>
              </w:rPr>
              <w:t xml:space="preserve">) </w:t>
            </w:r>
            <w:r>
              <w:rPr>
                <w:rFonts w:ascii="Times New Roman" w:hAnsi="Times New Roman"/>
                <w:sz w:val="24"/>
                <w:szCs w:val="24"/>
                <w:lang w:val="kk-KZ" w:eastAsia="en-US"/>
              </w:rPr>
              <w:t>сәйкес.</w:t>
            </w:r>
          </w:p>
        </w:tc>
      </w:tr>
      <w:tr w14:paraId="26CAF6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1" w:hRule="atLeast"/>
        </w:trPr>
        <w:tc>
          <w:tcPr>
            <w:tcW w:w="3652" w:type="dxa"/>
            <w:noWrap w:val="0"/>
            <w:vAlign w:val="center"/>
          </w:tcPr>
          <w:p w14:paraId="3E5D2312">
            <w:r>
              <w:t>ОКЭД:</w:t>
            </w:r>
          </w:p>
          <w:p w14:paraId="73FEC9CD">
            <w:pPr>
              <w:pStyle w:val="15"/>
              <w:shd w:val="clear" w:color="auto" w:fill="FFFFFF"/>
              <w:rPr>
                <w:rFonts w:ascii="inherit" w:hAnsi="inherit" w:cs="Courier New"/>
                <w:color w:val="212121"/>
                <w:lang w:val="ru-RU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ru-RU"/>
              </w:rPr>
              <w:t>Сақтанушының қызметі:</w:t>
            </w:r>
          </w:p>
        </w:tc>
        <w:tc>
          <w:tcPr>
            <w:tcW w:w="6379" w:type="dxa"/>
            <w:noWrap w:val="0"/>
            <w:vAlign w:val="center"/>
          </w:tcPr>
          <w:p w14:paraId="4029D9EB">
            <w:pPr>
              <w:rPr>
                <w:rFonts w:ascii="inherit" w:hAnsi="inherit"/>
                <w:color w:val="212121"/>
                <w:lang w:val="kk-KZ"/>
              </w:rPr>
            </w:pPr>
            <w:r>
              <w:rPr>
                <w:bCs/>
                <w:shd w:val="clear" w:color="auto" w:fill="FFFFFF"/>
              </w:rPr>
              <w:t xml:space="preserve">86210  </w:t>
            </w:r>
            <w:r>
              <w:rPr>
                <w:lang w:val="kk-KZ" w:eastAsia="en-US"/>
              </w:rPr>
              <w:t>Жалпы дәрігерлік практикасы</w:t>
            </w:r>
          </w:p>
        </w:tc>
      </w:tr>
      <w:tr w14:paraId="25CE01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3" w:hRule="atLeast"/>
        </w:trPr>
        <w:tc>
          <w:tcPr>
            <w:tcW w:w="3652" w:type="dxa"/>
            <w:noWrap w:val="0"/>
            <w:vAlign w:val="center"/>
          </w:tcPr>
          <w:p w14:paraId="3B34F851">
            <w:pPr>
              <w:pStyle w:val="15"/>
              <w:shd w:val="clear" w:color="auto" w:fill="FFFFFF"/>
              <w:rPr>
                <w:rFonts w:ascii="inherit" w:hAnsi="inherit" w:cs="Courier New"/>
                <w:color w:val="212121"/>
                <w:lang w:val="ru-RU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ru-RU"/>
              </w:rPr>
              <w:t>Сақтандыру объектісі:</w:t>
            </w:r>
          </w:p>
        </w:tc>
        <w:tc>
          <w:tcPr>
            <w:tcW w:w="6379" w:type="dxa"/>
            <w:noWrap w:val="0"/>
            <w:vAlign w:val="center"/>
          </w:tcPr>
          <w:p w14:paraId="1FCA2A6E">
            <w:pPr>
              <w:pStyle w:val="15"/>
              <w:shd w:val="clear" w:color="auto" w:fill="FFFFFF"/>
              <w:rPr>
                <w:rFonts w:ascii="inherit" w:hAnsi="inherit" w:cs="Courier New"/>
                <w:color w:val="212121"/>
                <w:lang w:val="ru-RU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kk-KZ" w:eastAsia="ru-RU"/>
              </w:rPr>
              <w:t>Жұмыскер</w:t>
            </w:r>
            <w:r>
              <w:rPr>
                <w:rFonts w:ascii="Times New Roman" w:hAnsi="Times New Roman"/>
                <w:sz w:val="24"/>
                <w:szCs w:val="24"/>
                <w:lang w:val="ru-RU" w:eastAsia="ru-RU"/>
              </w:rPr>
              <w:t>дің еңбек (қызметтік) міндеттерін орындау кезіндегі жазатайым оқиғалардан міндетті сақтандыру объектісі (бұдан әрі – қызметкерді жазатайым оқиғалардан міндетті сақтандыру) оның салдарынан өмірі мен денсаулығына зиян келтірілген қызметкердің мүліктік мүддесі болып табылады. егер Қазақстан Республикасы Әлеуметтік кодексінің 195-1-бабының 1-тармағында көзделген жағдайлар туындаса, оның қайтыс болуына кәсіптік қабілетін жоғалту дәрежесін белгілеуге әкеп соққан жазатайым оқиға</w:t>
            </w:r>
          </w:p>
        </w:tc>
      </w:tr>
      <w:tr w14:paraId="28223D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17" w:hRule="atLeast"/>
        </w:trPr>
        <w:tc>
          <w:tcPr>
            <w:tcW w:w="3652" w:type="dxa"/>
            <w:noWrap w:val="0"/>
            <w:vAlign w:val="center"/>
          </w:tcPr>
          <w:p w14:paraId="775F3143">
            <w:pPr>
              <w:jc w:val="both"/>
            </w:pPr>
            <w:r>
              <w:rPr>
                <w:rStyle w:val="28"/>
              </w:rPr>
              <w:t>САҚТАНДЫРУ</w:t>
            </w:r>
            <w:r>
              <w:t xml:space="preserve"> </w:t>
            </w:r>
            <w:r>
              <w:rPr>
                <w:rStyle w:val="28"/>
              </w:rPr>
              <w:t>ЖАҒДАЙЛАРЫ</w:t>
            </w:r>
          </w:p>
        </w:tc>
        <w:tc>
          <w:tcPr>
            <w:tcW w:w="6379" w:type="dxa"/>
            <w:noWrap w:val="0"/>
            <w:vAlign w:val="center"/>
          </w:tcPr>
          <w:p w14:paraId="2F0B9CD9">
            <w:pPr>
              <w:jc w:val="both"/>
            </w:pPr>
            <w:r>
              <w:rPr>
                <w:rStyle w:val="28"/>
              </w:rPr>
              <w:t>еңбек</w:t>
            </w:r>
            <w:r>
              <w:t xml:space="preserve"> </w:t>
            </w:r>
            <w:r>
              <w:rPr>
                <w:rStyle w:val="28"/>
              </w:rPr>
              <w:t>(қызметтік)</w:t>
            </w:r>
            <w:r>
              <w:t xml:space="preserve"> </w:t>
            </w:r>
            <w:r>
              <w:rPr>
                <w:rStyle w:val="28"/>
              </w:rPr>
              <w:t>міндеттерін</w:t>
            </w:r>
            <w:r>
              <w:t xml:space="preserve"> </w:t>
            </w:r>
            <w:r>
              <w:rPr>
                <w:rStyle w:val="28"/>
              </w:rPr>
              <w:t>атқару</w:t>
            </w:r>
            <w:r>
              <w:t xml:space="preserve"> </w:t>
            </w:r>
            <w:r>
              <w:rPr>
                <w:rStyle w:val="28"/>
              </w:rPr>
              <w:t>кезіндегі</w:t>
            </w:r>
            <w:r>
              <w:t xml:space="preserve"> </w:t>
            </w:r>
            <w:r>
              <w:rPr>
                <w:rStyle w:val="28"/>
              </w:rPr>
              <w:t>жазатайым</w:t>
            </w:r>
            <w:r>
              <w:t xml:space="preserve"> оқиға </w:t>
            </w:r>
            <w:r>
              <w:rPr>
                <w:rStyle w:val="28"/>
              </w:rPr>
              <w:t>(жазатайым</w:t>
            </w:r>
            <w:r>
              <w:t xml:space="preserve"> </w:t>
            </w:r>
            <w:r>
              <w:rPr>
                <w:rStyle w:val="28"/>
              </w:rPr>
              <w:t>оқиға)</w:t>
            </w:r>
            <w:r>
              <w:t xml:space="preserve"> </w:t>
            </w:r>
            <w:r>
              <w:rPr>
                <w:rStyle w:val="28"/>
              </w:rPr>
              <w:t>қызметкермен</w:t>
            </w:r>
            <w:r>
              <w:t xml:space="preserve"> </w:t>
            </w:r>
            <w:r>
              <w:rPr>
                <w:rStyle w:val="28"/>
              </w:rPr>
              <w:t>(қызметкерлермен)</w:t>
            </w:r>
            <w:r>
              <w:t xml:space="preserve"> </w:t>
            </w:r>
            <w:r>
              <w:rPr>
                <w:rStyle w:val="28"/>
              </w:rPr>
              <w:t>еңбек</w:t>
            </w:r>
            <w:r>
              <w:t xml:space="preserve"> </w:t>
            </w:r>
            <w:r>
              <w:rPr>
                <w:rStyle w:val="28"/>
              </w:rPr>
              <w:t>(қызметтік)</w:t>
            </w:r>
            <w:r>
              <w:t xml:space="preserve"> </w:t>
            </w:r>
            <w:r>
              <w:rPr>
                <w:rStyle w:val="28"/>
              </w:rPr>
              <w:t>міндеттерін</w:t>
            </w:r>
            <w:r>
              <w:t xml:space="preserve"> </w:t>
            </w:r>
            <w:r>
              <w:rPr>
                <w:rStyle w:val="28"/>
              </w:rPr>
              <w:t>атқару</w:t>
            </w:r>
            <w:r>
              <w:t xml:space="preserve"> </w:t>
            </w:r>
            <w:r>
              <w:rPr>
                <w:rStyle w:val="28"/>
              </w:rPr>
              <w:t>кезінде</w:t>
            </w:r>
            <w:r>
              <w:t xml:space="preserve"> </w:t>
            </w:r>
            <w:r>
              <w:rPr>
                <w:rStyle w:val="28"/>
              </w:rPr>
              <w:t>зиянды</w:t>
            </w:r>
            <w:r>
              <w:t xml:space="preserve"> </w:t>
            </w:r>
            <w:r>
              <w:rPr>
                <w:rStyle w:val="28"/>
              </w:rPr>
              <w:t>және</w:t>
            </w:r>
            <w:r>
              <w:t xml:space="preserve"> </w:t>
            </w:r>
            <w:r>
              <w:rPr>
                <w:rStyle w:val="28"/>
              </w:rPr>
              <w:t>(немесе)</w:t>
            </w:r>
            <w:r>
              <w:t xml:space="preserve"> </w:t>
            </w:r>
            <w:r>
              <w:rPr>
                <w:rStyle w:val="28"/>
              </w:rPr>
              <w:t>қауіпті</w:t>
            </w:r>
            <w:r>
              <w:t xml:space="preserve"> </w:t>
            </w:r>
            <w:r>
              <w:rPr>
                <w:rStyle w:val="28"/>
              </w:rPr>
              <w:t>өндірістік</w:t>
            </w:r>
            <w:r>
              <w:t xml:space="preserve"> </w:t>
            </w:r>
            <w:r>
              <w:rPr>
                <w:rStyle w:val="28"/>
              </w:rPr>
              <w:t>фактордың</w:t>
            </w:r>
            <w:r>
              <w:t xml:space="preserve"> </w:t>
            </w:r>
            <w:r>
              <w:rPr>
                <w:rStyle w:val="28"/>
              </w:rPr>
              <w:t>әсерінен</w:t>
            </w:r>
            <w:r>
              <w:t xml:space="preserve"> орын алған, </w:t>
            </w:r>
            <w:r>
              <w:rPr>
                <w:rStyle w:val="28"/>
              </w:rPr>
              <w:t>соның</w:t>
            </w:r>
            <w:r>
              <w:t xml:space="preserve"> </w:t>
            </w:r>
            <w:r>
              <w:rPr>
                <w:rStyle w:val="28"/>
              </w:rPr>
              <w:t>салдарынан</w:t>
            </w:r>
            <w:r>
              <w:t xml:space="preserve"> </w:t>
            </w:r>
            <w:r>
              <w:rPr>
                <w:rStyle w:val="28"/>
              </w:rPr>
              <w:t>өндірістік</w:t>
            </w:r>
            <w:r>
              <w:t xml:space="preserve"> </w:t>
            </w:r>
            <w:r>
              <w:rPr>
                <w:rStyle w:val="28"/>
              </w:rPr>
              <w:t>жарақат,</w:t>
            </w:r>
            <w:r>
              <w:t xml:space="preserve"> </w:t>
            </w:r>
            <w:r>
              <w:rPr>
                <w:rStyle w:val="28"/>
              </w:rPr>
              <w:t>денсаулығының</w:t>
            </w:r>
            <w:r>
              <w:t xml:space="preserve"> </w:t>
            </w:r>
            <w:r>
              <w:rPr>
                <w:rStyle w:val="28"/>
              </w:rPr>
              <w:t>кенеттен</w:t>
            </w:r>
            <w:r>
              <w:t xml:space="preserve"> </w:t>
            </w:r>
            <w:r>
              <w:rPr>
                <w:rStyle w:val="28"/>
              </w:rPr>
              <w:t>нашарлауы</w:t>
            </w:r>
            <w:r>
              <w:t xml:space="preserve"> </w:t>
            </w:r>
            <w:r>
              <w:rPr>
                <w:rStyle w:val="28"/>
              </w:rPr>
              <w:t>немесе</w:t>
            </w:r>
            <w:r>
              <w:t xml:space="preserve"> </w:t>
            </w:r>
            <w:r>
              <w:rPr>
                <w:rStyle w:val="28"/>
              </w:rPr>
              <w:t>қызметкердің</w:t>
            </w:r>
            <w:r>
              <w:t xml:space="preserve"> </w:t>
            </w:r>
            <w:r>
              <w:rPr>
                <w:rStyle w:val="28"/>
              </w:rPr>
              <w:t>улануы</w:t>
            </w:r>
            <w:r>
              <w:t xml:space="preserve">, </w:t>
            </w:r>
            <w:r>
              <w:rPr>
                <w:rStyle w:val="28"/>
              </w:rPr>
              <w:t>оны</w:t>
            </w:r>
            <w:r>
              <w:t xml:space="preserve"> </w:t>
            </w:r>
            <w:r>
              <w:rPr>
                <w:rStyle w:val="28"/>
              </w:rPr>
              <w:t>белгілеуге</w:t>
            </w:r>
            <w:r>
              <w:t xml:space="preserve"> алып келген </w:t>
            </w:r>
            <w:r>
              <w:rPr>
                <w:rStyle w:val="28"/>
              </w:rPr>
              <w:t>оған</w:t>
            </w:r>
            <w:r>
              <w:t xml:space="preserve"> кәсіптік еңбекке қабілеттілігінен </w:t>
            </w:r>
            <w:r>
              <w:rPr>
                <w:rStyle w:val="28"/>
              </w:rPr>
              <w:t>айырылу,</w:t>
            </w:r>
            <w:r>
              <w:t xml:space="preserve"> </w:t>
            </w:r>
            <w:r>
              <w:rPr>
                <w:rStyle w:val="28"/>
              </w:rPr>
              <w:t>кәсіптік</w:t>
            </w:r>
            <w:r>
              <w:t xml:space="preserve"> </w:t>
            </w:r>
            <w:r>
              <w:rPr>
                <w:rStyle w:val="28"/>
              </w:rPr>
              <w:t>ауруға</w:t>
            </w:r>
            <w:r>
              <w:t xml:space="preserve"> шалдығу </w:t>
            </w:r>
            <w:r>
              <w:rPr>
                <w:rStyle w:val="28"/>
              </w:rPr>
              <w:t>не</w:t>
            </w:r>
            <w:r>
              <w:t xml:space="preserve"> </w:t>
            </w:r>
            <w:r>
              <w:rPr>
                <w:rStyle w:val="28"/>
              </w:rPr>
              <w:t>қайтыс</w:t>
            </w:r>
            <w:r>
              <w:t xml:space="preserve"> </w:t>
            </w:r>
            <w:r>
              <w:rPr>
                <w:rStyle w:val="28"/>
              </w:rPr>
              <w:t>болу</w:t>
            </w:r>
            <w:r>
              <w:t xml:space="preserve"> </w:t>
            </w:r>
            <w:r>
              <w:rPr>
                <w:rStyle w:val="28"/>
              </w:rPr>
              <w:t>дәрежесі</w:t>
            </w:r>
            <w:r>
              <w:t xml:space="preserve">, "Қызметкерлерді </w:t>
            </w:r>
            <w:r>
              <w:rPr>
                <w:rStyle w:val="28"/>
              </w:rPr>
              <w:t>еңбек</w:t>
            </w:r>
            <w:r>
              <w:t xml:space="preserve"> </w:t>
            </w:r>
            <w:r>
              <w:rPr>
                <w:rStyle w:val="28"/>
              </w:rPr>
              <w:t>(қызметтік)</w:t>
            </w:r>
            <w:r>
              <w:t xml:space="preserve"> </w:t>
            </w:r>
            <w:r>
              <w:rPr>
                <w:rStyle w:val="28"/>
              </w:rPr>
              <w:t>міндеттерін</w:t>
            </w:r>
            <w:r>
              <w:t xml:space="preserve"> </w:t>
            </w:r>
            <w:r>
              <w:rPr>
                <w:rStyle w:val="28"/>
              </w:rPr>
              <w:t>атқару</w:t>
            </w:r>
            <w:r>
              <w:t xml:space="preserve"> </w:t>
            </w:r>
            <w:r>
              <w:rPr>
                <w:rStyle w:val="28"/>
              </w:rPr>
              <w:t>кезінде</w:t>
            </w:r>
            <w:r>
              <w:t xml:space="preserve"> </w:t>
            </w:r>
            <w:r>
              <w:rPr>
                <w:rStyle w:val="28"/>
              </w:rPr>
              <w:t>оларды</w:t>
            </w:r>
            <w:r>
              <w:t xml:space="preserve"> </w:t>
            </w:r>
            <w:r>
              <w:rPr>
                <w:rStyle w:val="28"/>
              </w:rPr>
              <w:t>жазатайым</w:t>
            </w:r>
            <w:r>
              <w:t xml:space="preserve"> оқиғалардан </w:t>
            </w:r>
            <w:r>
              <w:rPr>
                <w:rStyle w:val="28"/>
              </w:rPr>
              <w:t>міндетті</w:t>
            </w:r>
            <w:r>
              <w:t xml:space="preserve"> </w:t>
            </w:r>
            <w:r>
              <w:rPr>
                <w:rStyle w:val="28"/>
              </w:rPr>
              <w:t>сақтандыру</w:t>
            </w:r>
            <w:r>
              <w:t xml:space="preserve"> </w:t>
            </w:r>
            <w:r>
              <w:rPr>
                <w:rStyle w:val="28"/>
              </w:rPr>
              <w:t>туралы"Заңның</w:t>
            </w:r>
            <w:r>
              <w:t xml:space="preserve"> </w:t>
            </w:r>
            <w:r>
              <w:rPr>
                <w:rStyle w:val="28"/>
              </w:rPr>
              <w:t>16-1</w:t>
            </w:r>
            <w:r>
              <w:t>-</w:t>
            </w:r>
            <w:r>
              <w:rPr>
                <w:rStyle w:val="28"/>
              </w:rPr>
              <w:t>бабында</w:t>
            </w:r>
            <w:r>
              <w:t xml:space="preserve"> </w:t>
            </w:r>
            <w:r>
              <w:rPr>
                <w:rStyle w:val="28"/>
              </w:rPr>
              <w:t>көзделген</w:t>
            </w:r>
          </w:p>
        </w:tc>
      </w:tr>
      <w:tr w14:paraId="10757F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5" w:hRule="atLeast"/>
        </w:trPr>
        <w:tc>
          <w:tcPr>
            <w:tcW w:w="3652" w:type="dxa"/>
            <w:noWrap w:val="0"/>
            <w:vAlign w:val="center"/>
          </w:tcPr>
          <w:p w14:paraId="3B3601B8">
            <w:pPr>
              <w:pStyle w:val="15"/>
              <w:shd w:val="clear" w:color="auto" w:fill="FFFFFF"/>
              <w:rPr>
                <w:rFonts w:ascii="inherit" w:hAnsi="inherit" w:cs="Courier New"/>
                <w:color w:val="212121"/>
                <w:lang w:val="ru-RU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ru-RU"/>
              </w:rPr>
              <w:t>Сақтандыру кезеңі:</w:t>
            </w:r>
          </w:p>
        </w:tc>
        <w:tc>
          <w:tcPr>
            <w:tcW w:w="6379" w:type="dxa"/>
            <w:noWrap w:val="0"/>
            <w:vAlign w:val="center"/>
          </w:tcPr>
          <w:p w14:paraId="2A3A2C28">
            <w:pPr>
              <w:pStyle w:val="15"/>
              <w:shd w:val="clear" w:color="auto" w:fill="F8F9FA"/>
              <w:rPr>
                <w:rFonts w:ascii="inherit" w:hAnsi="inherit" w:cs="Courier New"/>
                <w:color w:val="1F1F1F"/>
                <w:sz w:val="24"/>
                <w:szCs w:val="24"/>
                <w:lang w:val="ru-RU" w:eastAsia="ru-RU"/>
              </w:rPr>
            </w:pPr>
            <w:r>
              <w:rPr>
                <w:rStyle w:val="26"/>
                <w:rFonts w:ascii="inherit" w:hAnsi="inherit" w:cs="Courier New"/>
                <w:color w:val="1F1F1F"/>
                <w:sz w:val="24"/>
                <w:szCs w:val="24"/>
                <w:lang w:val="kk-KZ" w:eastAsia="ru-RU"/>
              </w:rPr>
              <w:t>Қызметкерді міндетті сақтандыру шартын жасасқан сәттен бастап 12 айға (202</w:t>
            </w:r>
            <w:r>
              <w:rPr>
                <w:rStyle w:val="26"/>
                <w:rFonts w:hint="default" w:ascii="inherit" w:hAnsi="inherit" w:cs="Courier New"/>
                <w:color w:val="1F1F1F"/>
                <w:sz w:val="24"/>
                <w:szCs w:val="24"/>
                <w:lang w:val="kk-KZ" w:eastAsia="ru-RU"/>
              </w:rPr>
              <w:t>6</w:t>
            </w:r>
            <w:r>
              <w:rPr>
                <w:rStyle w:val="26"/>
                <w:rFonts w:ascii="inherit" w:hAnsi="inherit" w:cs="Courier New"/>
                <w:color w:val="1F1F1F"/>
                <w:sz w:val="24"/>
                <w:szCs w:val="24"/>
                <w:lang w:val="kk-KZ" w:eastAsia="ru-RU"/>
              </w:rPr>
              <w:t>-202</w:t>
            </w:r>
            <w:r>
              <w:rPr>
                <w:rStyle w:val="26"/>
                <w:rFonts w:hint="default" w:ascii="inherit" w:hAnsi="inherit" w:cs="Courier New"/>
                <w:color w:val="1F1F1F"/>
                <w:sz w:val="24"/>
                <w:szCs w:val="24"/>
                <w:lang w:val="kk-KZ" w:eastAsia="ru-RU"/>
              </w:rPr>
              <w:t>7</w:t>
            </w:r>
            <w:r>
              <w:rPr>
                <w:rStyle w:val="26"/>
                <w:rFonts w:ascii="inherit" w:hAnsi="inherit" w:cs="Courier New"/>
                <w:color w:val="1F1F1F"/>
                <w:sz w:val="24"/>
                <w:szCs w:val="24"/>
                <w:lang w:val="kk-KZ" w:eastAsia="ru-RU"/>
              </w:rPr>
              <w:t xml:space="preserve"> ж.)</w:t>
            </w:r>
          </w:p>
          <w:p w14:paraId="2858C5BB">
            <w:pPr>
              <w:rPr>
                <w:highlight w:val="red"/>
              </w:rPr>
            </w:pPr>
          </w:p>
        </w:tc>
      </w:tr>
      <w:tr w14:paraId="01C383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7" w:hRule="atLeast"/>
        </w:trPr>
        <w:tc>
          <w:tcPr>
            <w:tcW w:w="3652" w:type="dxa"/>
            <w:noWrap w:val="0"/>
            <w:vAlign w:val="center"/>
          </w:tcPr>
          <w:p w14:paraId="2ACD1051">
            <w:pPr>
              <w:pStyle w:val="15"/>
              <w:shd w:val="clear" w:color="auto" w:fill="FFFFFF"/>
              <w:rPr>
                <w:rFonts w:ascii="Times New Roman" w:hAnsi="Times New Roman"/>
                <w:sz w:val="24"/>
                <w:szCs w:val="24"/>
                <w:lang w:val="kk-KZ" w:eastAsia="ru-RU"/>
              </w:rPr>
            </w:pPr>
            <w:r>
              <w:rPr>
                <w:rFonts w:cs="Courier New"/>
                <w:lang w:val="ru-RU" w:eastAsia="ru-RU"/>
              </w:rPr>
              <w:br w:type="textWrapping"/>
            </w:r>
            <w:r>
              <w:rPr>
                <w:rFonts w:ascii="Times New Roman" w:hAnsi="Times New Roman"/>
                <w:sz w:val="24"/>
                <w:szCs w:val="24"/>
                <w:lang w:val="kk-KZ" w:eastAsia="ru-RU"/>
              </w:rPr>
              <w:t>Сақтандырылатындар саны:</w:t>
            </w:r>
          </w:p>
        </w:tc>
        <w:tc>
          <w:tcPr>
            <w:tcW w:w="6379" w:type="dxa"/>
            <w:noWrap w:val="0"/>
            <w:vAlign w:val="center"/>
          </w:tcPr>
          <w:p w14:paraId="0A940999">
            <w:pPr>
              <w:rPr>
                <w:rFonts w:hint="default"/>
                <w:lang w:val="kk-KZ"/>
              </w:rPr>
            </w:pPr>
            <w:r>
              <w:rPr>
                <w:lang w:val="kk-KZ"/>
              </w:rPr>
              <w:t>2</w:t>
            </w:r>
            <w:r>
              <w:rPr>
                <w:rFonts w:hint="default"/>
                <w:lang w:val="kk-KZ"/>
              </w:rPr>
              <w:t>85</w:t>
            </w:r>
          </w:p>
        </w:tc>
      </w:tr>
      <w:tr w14:paraId="110CE8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3" w:hRule="atLeast"/>
        </w:trPr>
        <w:tc>
          <w:tcPr>
            <w:tcW w:w="3652" w:type="dxa"/>
            <w:noWrap w:val="0"/>
            <w:vAlign w:val="center"/>
          </w:tcPr>
          <w:p w14:paraId="287D9AEA">
            <w:pPr>
              <w:pStyle w:val="15"/>
              <w:shd w:val="clear" w:color="auto" w:fill="FFFFFF"/>
              <w:rPr>
                <w:rFonts w:ascii="Times New Roman" w:hAnsi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kk-KZ" w:eastAsia="ru-RU"/>
              </w:rPr>
              <w:t>Шарттың қолданылу аумағы</w:t>
            </w:r>
          </w:p>
        </w:tc>
        <w:tc>
          <w:tcPr>
            <w:tcW w:w="6379" w:type="dxa"/>
            <w:noWrap w:val="0"/>
            <w:vAlign w:val="center"/>
          </w:tcPr>
          <w:p w14:paraId="6B0A1144">
            <w:pPr>
              <w:rPr>
                <w:lang w:val="kk-KZ"/>
              </w:rPr>
            </w:pPr>
            <w:r>
              <w:rPr>
                <w:lang w:val="kk-KZ"/>
              </w:rPr>
              <w:t>сақтанушының жұмыс орны, сондай-ақ сақтандырылған қызметкердің болуы оның еңбек немесе Тапсырыс берушінің бұйрығына байланысты басқа да міндеттерді орындауына байланысты болған кез келген басқа орын.</w:t>
            </w:r>
          </w:p>
        </w:tc>
      </w:tr>
      <w:tr w14:paraId="6160BA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3" w:hRule="atLeast"/>
        </w:trPr>
        <w:tc>
          <w:tcPr>
            <w:tcW w:w="3652" w:type="dxa"/>
            <w:noWrap w:val="0"/>
            <w:vAlign w:val="center"/>
          </w:tcPr>
          <w:p w14:paraId="530CAAFA">
            <w:pPr>
              <w:pStyle w:val="15"/>
              <w:shd w:val="clear" w:color="auto" w:fill="FFFFFF"/>
              <w:rPr>
                <w:rFonts w:ascii="Times New Roman" w:hAnsi="Times New Roman"/>
                <w:sz w:val="24"/>
                <w:szCs w:val="24"/>
                <w:lang w:val="kk-KZ" w:eastAsia="ru-RU"/>
              </w:rPr>
            </w:pPr>
            <w:r>
              <w:rPr>
                <w:rStyle w:val="28"/>
                <w:rFonts w:ascii="Times New Roman" w:hAnsi="Times New Roman"/>
                <w:sz w:val="24"/>
                <w:szCs w:val="24"/>
                <w:lang w:val="ru-RU" w:eastAsia="ru-RU"/>
              </w:rPr>
              <w:t>Сақтандыру</w:t>
            </w:r>
            <w:r>
              <w:rPr>
                <w:rFonts w:ascii="Times New Roman" w:hAnsi="Times New Roman"/>
                <w:sz w:val="24"/>
                <w:szCs w:val="24"/>
                <w:lang w:val="ru-RU" w:eastAsia="ru-RU"/>
              </w:rPr>
              <w:t xml:space="preserve"> </w:t>
            </w:r>
            <w:r>
              <w:rPr>
                <w:rStyle w:val="28"/>
                <w:rFonts w:ascii="Times New Roman" w:hAnsi="Times New Roman"/>
                <w:sz w:val="24"/>
                <w:szCs w:val="24"/>
                <w:lang w:val="ru-RU" w:eastAsia="ru-RU"/>
              </w:rPr>
              <w:t>төлемдері</w:t>
            </w:r>
          </w:p>
        </w:tc>
        <w:tc>
          <w:tcPr>
            <w:tcW w:w="6379" w:type="dxa"/>
            <w:noWrap w:val="0"/>
            <w:vAlign w:val="center"/>
          </w:tcPr>
          <w:p w14:paraId="12600B94">
            <w:pPr>
              <w:rPr>
                <w:lang w:val="kk-KZ"/>
              </w:rPr>
            </w:pPr>
            <w:r>
              <w:rPr>
                <w:rStyle w:val="28"/>
                <w:lang w:val="kk-KZ"/>
              </w:rPr>
              <w:t>сақтандыру</w:t>
            </w:r>
            <w:r>
              <w:rPr>
                <w:lang w:val="kk-KZ"/>
              </w:rPr>
              <w:t xml:space="preserve"> </w:t>
            </w:r>
            <w:r>
              <w:rPr>
                <w:rStyle w:val="28"/>
                <w:lang w:val="kk-KZ"/>
              </w:rPr>
              <w:t>жағдайы</w:t>
            </w:r>
            <w:r>
              <w:rPr>
                <w:lang w:val="kk-KZ"/>
              </w:rPr>
              <w:t xml:space="preserve"> </w:t>
            </w:r>
            <w:r>
              <w:rPr>
                <w:rStyle w:val="28"/>
                <w:lang w:val="kk-KZ"/>
              </w:rPr>
              <w:t>басталған</w:t>
            </w:r>
            <w:r>
              <w:rPr>
                <w:lang w:val="kk-KZ"/>
              </w:rPr>
              <w:t xml:space="preserve"> </w:t>
            </w:r>
            <w:r>
              <w:rPr>
                <w:rStyle w:val="28"/>
                <w:lang w:val="kk-KZ"/>
              </w:rPr>
              <w:t>кезде</w:t>
            </w:r>
            <w:r>
              <w:rPr>
                <w:lang w:val="kk-KZ"/>
              </w:rPr>
              <w:t xml:space="preserve"> </w:t>
            </w:r>
            <w:r>
              <w:rPr>
                <w:rStyle w:val="28"/>
                <w:lang w:val="kk-KZ"/>
              </w:rPr>
              <w:t>сақтандыру</w:t>
            </w:r>
            <w:r>
              <w:rPr>
                <w:lang w:val="kk-KZ"/>
              </w:rPr>
              <w:t xml:space="preserve"> </w:t>
            </w:r>
            <w:r>
              <w:rPr>
                <w:rStyle w:val="28"/>
                <w:lang w:val="kk-KZ"/>
              </w:rPr>
              <w:t>сомасы</w:t>
            </w:r>
            <w:r>
              <w:rPr>
                <w:lang w:val="kk-KZ"/>
              </w:rPr>
              <w:t xml:space="preserve"> </w:t>
            </w:r>
            <w:r>
              <w:rPr>
                <w:rStyle w:val="28"/>
                <w:lang w:val="kk-KZ"/>
              </w:rPr>
              <w:t>шегінде</w:t>
            </w:r>
            <w:r>
              <w:rPr>
                <w:lang w:val="kk-KZ"/>
              </w:rPr>
              <w:t xml:space="preserve"> </w:t>
            </w:r>
            <w:r>
              <w:rPr>
                <w:rStyle w:val="28"/>
                <w:lang w:val="kk-KZ"/>
              </w:rPr>
              <w:t>сақтандырушы</w:t>
            </w:r>
            <w:r>
              <w:rPr>
                <w:lang w:val="kk-KZ"/>
              </w:rPr>
              <w:t xml:space="preserve"> пайда алушыға </w:t>
            </w:r>
            <w:r>
              <w:rPr>
                <w:rStyle w:val="28"/>
                <w:lang w:val="kk-KZ"/>
              </w:rPr>
              <w:t>төлейтін</w:t>
            </w:r>
            <w:r>
              <w:rPr>
                <w:lang w:val="kk-KZ"/>
              </w:rPr>
              <w:t xml:space="preserve"> </w:t>
            </w:r>
            <w:r>
              <w:rPr>
                <w:rStyle w:val="28"/>
                <w:lang w:val="kk-KZ"/>
              </w:rPr>
              <w:t>ақша</w:t>
            </w:r>
            <w:r>
              <w:rPr>
                <w:lang w:val="kk-KZ"/>
              </w:rPr>
              <w:t xml:space="preserve"> </w:t>
            </w:r>
            <w:r>
              <w:rPr>
                <w:rStyle w:val="28"/>
                <w:lang w:val="kk-KZ"/>
              </w:rPr>
              <w:t>сомасы</w:t>
            </w:r>
          </w:p>
        </w:tc>
      </w:tr>
    </w:tbl>
    <w:p w14:paraId="1C2D3132">
      <w:pPr>
        <w:spacing w:after="160" w:line="259" w:lineRule="auto"/>
        <w:rPr>
          <w:rFonts w:eastAsia="Calibri"/>
          <w:sz w:val="22"/>
          <w:szCs w:val="22"/>
          <w:lang w:val="kk-KZ" w:eastAsia="en-US"/>
        </w:rPr>
      </w:pPr>
    </w:p>
    <w:p w14:paraId="0CCC4DF1">
      <w:pPr>
        <w:shd w:val="clear" w:color="auto" w:fill="FFFFFF"/>
        <w:jc w:val="center"/>
        <w:rPr>
          <w:b/>
          <w:sz w:val="28"/>
          <w:szCs w:val="28"/>
          <w:lang w:val="kk-KZ"/>
        </w:rPr>
      </w:pPr>
    </w:p>
    <w:p w14:paraId="44E522E6">
      <w:pPr>
        <w:shd w:val="clear" w:color="auto" w:fill="FFFFFF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Техническая спецификация</w:t>
      </w:r>
    </w:p>
    <w:p w14:paraId="2A977A41">
      <w:pPr>
        <w:shd w:val="clear" w:color="auto" w:fill="FFFFFF"/>
        <w:jc w:val="center"/>
        <w:rPr>
          <w:b/>
          <w:sz w:val="28"/>
          <w:szCs w:val="28"/>
          <w:lang w:val="kk-KZ"/>
        </w:rPr>
      </w:pPr>
      <w:r>
        <w:rPr>
          <w:b/>
          <w:sz w:val="28"/>
          <w:szCs w:val="28"/>
        </w:rPr>
        <w:t>на оказание услуги по обязательному страхованию работников от несчастных случаев</w:t>
      </w:r>
      <w:r>
        <w:rPr>
          <w:b/>
          <w:sz w:val="28"/>
          <w:szCs w:val="28"/>
          <w:lang w:val="kk-KZ"/>
        </w:rPr>
        <w:t xml:space="preserve"> при исполнении ими трудовых (служебных) обязанностей</w:t>
      </w:r>
    </w:p>
    <w:p w14:paraId="17682483">
      <w:pPr>
        <w:shd w:val="clear" w:color="auto" w:fill="FFFFFF"/>
        <w:jc w:val="center"/>
        <w:rPr>
          <w:b/>
          <w:sz w:val="28"/>
          <w:szCs w:val="28"/>
        </w:rPr>
      </w:pPr>
    </w:p>
    <w:tbl>
      <w:tblPr>
        <w:tblStyle w:val="5"/>
        <w:tblW w:w="1003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85"/>
        <w:gridCol w:w="6946"/>
      </w:tblGrid>
      <w:tr w14:paraId="05E7F3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0" w:hRule="atLeast"/>
        </w:trPr>
        <w:tc>
          <w:tcPr>
            <w:tcW w:w="3085" w:type="dxa"/>
            <w:noWrap w:val="0"/>
            <w:vAlign w:val="center"/>
          </w:tcPr>
          <w:p w14:paraId="4B41A5B4">
            <w:r>
              <w:t>Вид страхования</w:t>
            </w:r>
          </w:p>
        </w:tc>
        <w:tc>
          <w:tcPr>
            <w:tcW w:w="6946" w:type="dxa"/>
            <w:noWrap w:val="0"/>
            <w:vAlign w:val="center"/>
          </w:tcPr>
          <w:p w14:paraId="601A470C">
            <w:pPr>
              <w:pStyle w:val="2"/>
              <w:contextualSpacing/>
              <w:jc w:val="both"/>
              <w:textAlignment w:val="baseline"/>
              <w:rPr>
                <w:b w:val="0"/>
                <w:caps w:val="0"/>
                <w:color w:val="auto"/>
                <w:szCs w:val="24"/>
                <w:shd w:val="clear" w:color="auto" w:fill="FFFFFF"/>
                <w:lang w:val="kk-KZ" w:eastAsia="ru-RU"/>
              </w:rPr>
            </w:pPr>
            <w:r>
              <w:rPr>
                <w:b w:val="0"/>
                <w:caps w:val="0"/>
                <w:color w:val="auto"/>
                <w:szCs w:val="24"/>
                <w:shd w:val="clear" w:color="auto" w:fill="FFFFFF"/>
                <w:lang w:val="ru-RU" w:eastAsia="ru-RU"/>
              </w:rPr>
              <w:t>в соответствии с Законом Республики Казахстан от 7 февраля 2005 года № 30-</w:t>
            </w:r>
            <w:r>
              <w:rPr>
                <w:b w:val="0"/>
                <w:caps w:val="0"/>
                <w:color w:val="auto"/>
                <w:szCs w:val="24"/>
                <w:shd w:val="clear" w:color="auto" w:fill="FFFFFF"/>
                <w:lang w:eastAsia="ru-RU"/>
              </w:rPr>
              <w:t>III</w:t>
            </w:r>
            <w:r>
              <w:rPr>
                <w:b w:val="0"/>
                <w:caps w:val="0"/>
                <w:color w:val="auto"/>
                <w:szCs w:val="24"/>
                <w:shd w:val="clear" w:color="auto" w:fill="FFFFFF"/>
                <w:lang w:val="ru-RU" w:eastAsia="ru-RU"/>
              </w:rPr>
              <w:t xml:space="preserve"> «Об обязательном страховании работника от несчастных случаев при исполнении им трудовых (служебных) обязанностей» (далее – Закон)</w:t>
            </w:r>
          </w:p>
        </w:tc>
      </w:tr>
      <w:tr w14:paraId="7FCCD7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1" w:hRule="atLeast"/>
        </w:trPr>
        <w:tc>
          <w:tcPr>
            <w:tcW w:w="3085" w:type="dxa"/>
            <w:noWrap w:val="0"/>
            <w:vAlign w:val="center"/>
          </w:tcPr>
          <w:p w14:paraId="64967993">
            <w:r>
              <w:t>ОКЭД:</w:t>
            </w:r>
          </w:p>
          <w:p w14:paraId="423D039E">
            <w:pPr>
              <w:rPr>
                <w:lang w:val="en-US"/>
              </w:rPr>
            </w:pPr>
            <w:r>
              <w:t>Деятельность страхователя</w:t>
            </w:r>
          </w:p>
        </w:tc>
        <w:tc>
          <w:tcPr>
            <w:tcW w:w="6946" w:type="dxa"/>
            <w:noWrap w:val="0"/>
            <w:vAlign w:val="center"/>
          </w:tcPr>
          <w:p w14:paraId="47088D5E">
            <w:pPr>
              <w:ind w:right="-112"/>
              <w:rPr>
                <w:lang w:val="kk-KZ"/>
              </w:rPr>
            </w:pPr>
            <w:r>
              <w:rPr>
                <w:bCs/>
                <w:shd w:val="clear" w:color="auto" w:fill="FFFFFF"/>
                <w:lang w:val="kk-KZ"/>
              </w:rPr>
              <w:t>86210</w:t>
            </w:r>
            <w:r>
              <w:rPr>
                <w:bCs/>
                <w:shd w:val="clear" w:color="auto" w:fill="FFFFFF"/>
              </w:rPr>
              <w:t xml:space="preserve"> </w:t>
            </w:r>
            <w:r>
              <w:rPr>
                <w:bCs/>
                <w:shd w:val="clear" w:color="auto" w:fill="FFFFFF"/>
                <w:lang w:val="kk-KZ"/>
              </w:rPr>
              <w:t>Общая врачебная практика</w:t>
            </w:r>
          </w:p>
        </w:tc>
      </w:tr>
      <w:tr w14:paraId="2ED731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60" w:hRule="atLeast"/>
        </w:trPr>
        <w:tc>
          <w:tcPr>
            <w:tcW w:w="3085" w:type="dxa"/>
            <w:noWrap w:val="0"/>
            <w:vAlign w:val="center"/>
          </w:tcPr>
          <w:p w14:paraId="51E86040">
            <w:r>
              <w:t>Объект страхования</w:t>
            </w:r>
          </w:p>
        </w:tc>
        <w:tc>
          <w:tcPr>
            <w:tcW w:w="6946" w:type="dxa"/>
            <w:noWrap w:val="0"/>
            <w:vAlign w:val="center"/>
          </w:tcPr>
          <w:p w14:paraId="447424A6">
            <w:pPr>
              <w:jc w:val="both"/>
              <w:rPr>
                <w:bCs/>
              </w:rPr>
            </w:pPr>
            <w:r>
              <w:t xml:space="preserve">объектом обязательного страхования работника от несчастных случаев при исполнении им трудовых (служебных) обязанностей (далее - обязательное страхование работника от несчастных случаев) является имущественный интерес работника, жизни и здоровью которого причинен вред в результате несчастного случая, приведшего к установлению ему степени утраты профессиональной трудоспособности либо его смерти, также при возникновении условий, предусмотренных пунктом 1 статьи 195-1 Социального кодекса Республики Казахстан </w:t>
            </w:r>
          </w:p>
        </w:tc>
      </w:tr>
      <w:tr w14:paraId="53EA92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60" w:hRule="atLeast"/>
        </w:trPr>
        <w:tc>
          <w:tcPr>
            <w:tcW w:w="3085" w:type="dxa"/>
            <w:noWrap w:val="0"/>
            <w:vAlign w:val="top"/>
          </w:tcPr>
          <w:p w14:paraId="543A103A">
            <w:pPr>
              <w:contextualSpacing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СТРАХОВЫЕ СЛУЧАИ</w:t>
            </w:r>
          </w:p>
          <w:p w14:paraId="7FD79969">
            <w:pPr>
              <w:contextualSpacing/>
              <w:rPr>
                <w:sz w:val="22"/>
                <w:szCs w:val="22"/>
              </w:rPr>
            </w:pPr>
          </w:p>
          <w:p w14:paraId="755D590A">
            <w:pPr>
              <w:contextualSpacing/>
              <w:rPr>
                <w:sz w:val="22"/>
                <w:szCs w:val="22"/>
              </w:rPr>
            </w:pPr>
          </w:p>
        </w:tc>
        <w:tc>
          <w:tcPr>
            <w:tcW w:w="6946" w:type="dxa"/>
            <w:noWrap w:val="0"/>
            <w:vAlign w:val="top"/>
          </w:tcPr>
          <w:p w14:paraId="16BF578C">
            <w:pPr>
              <w:ind w:left="12"/>
              <w:contextualSpacing/>
              <w:jc w:val="both"/>
              <w:rPr>
                <w:sz w:val="24"/>
                <w:szCs w:val="24"/>
              </w:rPr>
            </w:pPr>
            <w:r>
              <w:rPr>
                <w:rStyle w:val="17"/>
                <w:sz w:val="24"/>
                <w:szCs w:val="24"/>
              </w:rPr>
              <w:t xml:space="preserve">несчастный случай при исполнении трудовых (служебных) обязанностей (несчастный случай), произошедший с работником (работниками) при исполнении им (ими) трудовых (служебных) обязанностей в результате воздействия вредного и (или) опасного производственного фактора, вследствие которого произошли производственная травма, внезапное ухудшение здоровья или отравление работника, приведшие его к установлению ему степени утраты профессиональной трудоспособности, профессиональному заболеванию либо смерти, при обстоятельствах, предусмотренных </w:t>
            </w:r>
            <w:bookmarkStart w:id="0" w:name="sub1001532388"/>
            <w:r>
              <w:rPr>
                <w:rStyle w:val="17"/>
                <w:sz w:val="24"/>
                <w:szCs w:val="24"/>
              </w:rPr>
              <w:fldChar w:fldCharType="begin"/>
            </w:r>
            <w:r>
              <w:rPr>
                <w:rStyle w:val="17"/>
                <w:sz w:val="24"/>
                <w:szCs w:val="24"/>
              </w:rPr>
              <w:instrText xml:space="preserve"> HYPERLINK "jl:1052939.16010000 " </w:instrText>
            </w:r>
            <w:r>
              <w:rPr>
                <w:rStyle w:val="17"/>
                <w:sz w:val="24"/>
                <w:szCs w:val="24"/>
              </w:rPr>
              <w:fldChar w:fldCharType="separate"/>
            </w:r>
            <w:r>
              <w:rPr>
                <w:rStyle w:val="6"/>
                <w:b/>
                <w:bCs/>
                <w:color w:val="000080"/>
                <w:sz w:val="24"/>
                <w:szCs w:val="24"/>
              </w:rPr>
              <w:t>статьей 16-1</w:t>
            </w:r>
            <w:r>
              <w:rPr>
                <w:rStyle w:val="17"/>
                <w:sz w:val="24"/>
                <w:szCs w:val="24"/>
              </w:rPr>
              <w:fldChar w:fldCharType="end"/>
            </w:r>
            <w:bookmarkEnd w:id="0"/>
            <w:r>
              <w:rPr>
                <w:rStyle w:val="17"/>
                <w:sz w:val="24"/>
                <w:szCs w:val="24"/>
              </w:rPr>
              <w:t xml:space="preserve"> Закона </w:t>
            </w:r>
            <w:r>
              <w:rPr>
                <w:bCs/>
                <w:sz w:val="24"/>
                <w:szCs w:val="24"/>
              </w:rPr>
              <w:t xml:space="preserve">«Об </w:t>
            </w:r>
            <w:r>
              <w:rPr>
                <w:b/>
                <w:bCs/>
                <w:sz w:val="24"/>
                <w:szCs w:val="24"/>
              </w:rPr>
              <w:t>о</w:t>
            </w:r>
            <w:r>
              <w:rPr>
                <w:rStyle w:val="27"/>
                <w:b w:val="0"/>
                <w:sz w:val="24"/>
                <w:szCs w:val="24"/>
              </w:rPr>
              <w:t>бязательном страховании работников от несчастных случаев при исполнении им трудовых (служебных) обязанностей»</w:t>
            </w:r>
          </w:p>
        </w:tc>
      </w:tr>
      <w:tr w14:paraId="1A5BE3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5" w:hRule="atLeast"/>
        </w:trPr>
        <w:tc>
          <w:tcPr>
            <w:tcW w:w="3085" w:type="dxa"/>
            <w:noWrap w:val="0"/>
            <w:vAlign w:val="center"/>
          </w:tcPr>
          <w:p w14:paraId="6C844AF9">
            <w:r>
              <w:t>Период страхования</w:t>
            </w:r>
          </w:p>
        </w:tc>
        <w:tc>
          <w:tcPr>
            <w:tcW w:w="6946" w:type="dxa"/>
            <w:noWrap w:val="0"/>
            <w:vAlign w:val="center"/>
          </w:tcPr>
          <w:p w14:paraId="412274C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 xml:space="preserve">с момента заключения договора обязательного страхования работника в течении 12 месяцев </w:t>
            </w:r>
            <w:r>
              <w:rPr>
                <w:sz w:val="24"/>
                <w:szCs w:val="24"/>
              </w:rPr>
              <w:t>(202</w:t>
            </w:r>
            <w:r>
              <w:rPr>
                <w:rFonts w:hint="default"/>
                <w:sz w:val="24"/>
                <w:szCs w:val="24"/>
                <w:lang w:val="kk-KZ"/>
              </w:rPr>
              <w:t>6</w:t>
            </w:r>
            <w:r>
              <w:rPr>
                <w:sz w:val="24"/>
                <w:szCs w:val="24"/>
              </w:rPr>
              <w:t>-202</w:t>
            </w:r>
            <w:r>
              <w:rPr>
                <w:rFonts w:hint="default"/>
                <w:sz w:val="24"/>
                <w:szCs w:val="24"/>
                <w:lang w:val="kk-KZ"/>
              </w:rPr>
              <w:t>7</w:t>
            </w:r>
            <w:r>
              <w:rPr>
                <w:sz w:val="24"/>
                <w:szCs w:val="24"/>
              </w:rPr>
              <w:t xml:space="preserve"> гг.)</w:t>
            </w:r>
          </w:p>
        </w:tc>
      </w:tr>
      <w:tr w14:paraId="6A1ED3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7" w:hRule="atLeast"/>
        </w:trPr>
        <w:tc>
          <w:tcPr>
            <w:tcW w:w="3085" w:type="dxa"/>
            <w:noWrap w:val="0"/>
            <w:vAlign w:val="center"/>
          </w:tcPr>
          <w:p w14:paraId="1690C8D9">
            <w:bookmarkStart w:id="1" w:name="_GoBack"/>
            <w:bookmarkEnd w:id="1"/>
            <w:r>
              <w:t>Количество застрахованных</w:t>
            </w:r>
          </w:p>
        </w:tc>
        <w:tc>
          <w:tcPr>
            <w:tcW w:w="6946" w:type="dxa"/>
            <w:noWrap w:val="0"/>
            <w:vAlign w:val="center"/>
          </w:tcPr>
          <w:p w14:paraId="50B61E3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>2</w:t>
            </w:r>
            <w:r>
              <w:rPr>
                <w:rFonts w:hint="default"/>
                <w:sz w:val="24"/>
                <w:szCs w:val="24"/>
                <w:lang w:val="kk-KZ"/>
              </w:rPr>
              <w:t>85</w:t>
            </w:r>
          </w:p>
        </w:tc>
      </w:tr>
      <w:tr w14:paraId="638BF6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3" w:hRule="atLeast"/>
        </w:trPr>
        <w:tc>
          <w:tcPr>
            <w:tcW w:w="3085" w:type="dxa"/>
            <w:noWrap w:val="0"/>
            <w:vAlign w:val="center"/>
          </w:tcPr>
          <w:p w14:paraId="2512824C">
            <w:pPr>
              <w:rPr>
                <w:lang w:val="kk-KZ"/>
              </w:rPr>
            </w:pPr>
            <w:r>
              <w:rPr>
                <w:lang w:val="kk-KZ"/>
              </w:rPr>
              <w:t>Территория действия Договора</w:t>
            </w:r>
          </w:p>
        </w:tc>
        <w:tc>
          <w:tcPr>
            <w:tcW w:w="6946" w:type="dxa"/>
            <w:noWrap w:val="0"/>
            <w:vAlign w:val="center"/>
          </w:tcPr>
          <w:p w14:paraId="6615D4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работы застрахованного, а также любое другое место, нахождение в котором Застрахованного работника было обусловлено выполнением им трудовых или иных обязанностей, связанных с поручением Заказчика</w:t>
            </w:r>
          </w:p>
        </w:tc>
      </w:tr>
      <w:tr w14:paraId="43114A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3" w:hRule="atLeast"/>
        </w:trPr>
        <w:tc>
          <w:tcPr>
            <w:tcW w:w="3085" w:type="dxa"/>
            <w:noWrap w:val="0"/>
            <w:vAlign w:val="center"/>
          </w:tcPr>
          <w:p w14:paraId="375E19D9">
            <w:r>
              <w:t>Страховые выплаты</w:t>
            </w:r>
          </w:p>
        </w:tc>
        <w:tc>
          <w:tcPr>
            <w:tcW w:w="6946" w:type="dxa"/>
            <w:noWrap w:val="0"/>
            <w:vAlign w:val="center"/>
          </w:tcPr>
          <w:p w14:paraId="5CB7E4EB">
            <w:pPr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сумма денег, выплачиваемая страховщиком выгодоприобретателю в пределах страховой суммы при наступлении страхового случая</w:t>
            </w:r>
          </w:p>
        </w:tc>
      </w:tr>
    </w:tbl>
    <w:p w14:paraId="6E2E4D3F">
      <w:pPr>
        <w:rPr>
          <w:sz w:val="22"/>
          <w:szCs w:val="22"/>
        </w:rPr>
      </w:pPr>
    </w:p>
    <w:p w14:paraId="71BBCDB1">
      <w:pPr>
        <w:spacing w:after="160" w:line="259" w:lineRule="auto"/>
        <w:rPr>
          <w:rFonts w:eastAsia="Calibri"/>
          <w:sz w:val="22"/>
          <w:szCs w:val="22"/>
          <w:lang w:val="kk-KZ" w:eastAsia="en-US"/>
        </w:rPr>
      </w:pPr>
    </w:p>
    <w:sectPr>
      <w:pgSz w:w="11906" w:h="16838"/>
      <w:pgMar w:top="709" w:right="851" w:bottom="568" w:left="1418" w:header="709" w:footer="709" w:gutter="0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CC"/>
    <w:family w:val="roman"/>
    <w:pitch w:val="default"/>
    <w:sig w:usb0="E00006FF" w:usb1="420024FF" w:usb2="02000000" w:usb3="00000000" w:csb0="2000019F" w:csb1="00000000"/>
  </w:font>
  <w:font w:name="Tahoma">
    <w:panose1 w:val="020B0604030504040204"/>
    <w:charset w:val="CC"/>
    <w:family w:val="swiss"/>
    <w:pitch w:val="default"/>
    <w:sig w:usb0="E1002EFF" w:usb1="C000605B" w:usb2="00000029" w:usb3="00000000" w:csb0="200101FF" w:csb1="20280000"/>
  </w:font>
  <w:font w:name="Pragmatica">
    <w:altName w:val="Arial"/>
    <w:panose1 w:val="00000000000000000000"/>
    <w:charset w:val="00"/>
    <w:family w:val="swiss"/>
    <w:pitch w:val="default"/>
    <w:sig w:usb0="00000000" w:usb1="00000000" w:usb2="00000000" w:usb3="00000000" w:csb0="00000001" w:csb1="00000000"/>
  </w:font>
  <w:font w:name="Arial Unicode MS">
    <w:panose1 w:val="020B0604020202020204"/>
    <w:charset w:val="80"/>
    <w:family w:val="swiss"/>
    <w:pitch w:val="default"/>
    <w:sig w:usb0="FFFFFFFF" w:usb1="E9FFFFFF" w:usb2="0000003F" w:usb3="00000000" w:csb0="603F01FF" w:csb1="FFFF0000"/>
  </w:font>
  <w:font w:name="inherit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5"/>
  <w:bordersDoNotSurroundHeader w:val="0"/>
  <w:bordersDoNotSurroundFooter w:val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708"/>
  <w:hyphenationZone w:val="360"/>
  <w:displayHorizontalDrawingGridEvery w:val="1"/>
  <w:displayVerticalDrawingGridEvery w:val="1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72A2"/>
    <w:rsid w:val="0001019B"/>
    <w:rsid w:val="000337B4"/>
    <w:rsid w:val="000466AD"/>
    <w:rsid w:val="00076620"/>
    <w:rsid w:val="00084133"/>
    <w:rsid w:val="00084BEC"/>
    <w:rsid w:val="000A7973"/>
    <w:rsid w:val="000B2C03"/>
    <w:rsid w:val="000B5E53"/>
    <w:rsid w:val="000C0B63"/>
    <w:rsid w:val="00105712"/>
    <w:rsid w:val="00120F26"/>
    <w:rsid w:val="00121DD4"/>
    <w:rsid w:val="00131892"/>
    <w:rsid w:val="00146BAD"/>
    <w:rsid w:val="00155DC4"/>
    <w:rsid w:val="00161348"/>
    <w:rsid w:val="001905D5"/>
    <w:rsid w:val="001955D2"/>
    <w:rsid w:val="001A593B"/>
    <w:rsid w:val="001A5B26"/>
    <w:rsid w:val="001A6537"/>
    <w:rsid w:val="001B1FA2"/>
    <w:rsid w:val="001B2A80"/>
    <w:rsid w:val="001C1250"/>
    <w:rsid w:val="001D2BD3"/>
    <w:rsid w:val="001F66E5"/>
    <w:rsid w:val="0020559A"/>
    <w:rsid w:val="00211D6B"/>
    <w:rsid w:val="0022723D"/>
    <w:rsid w:val="00236005"/>
    <w:rsid w:val="00236340"/>
    <w:rsid w:val="00260904"/>
    <w:rsid w:val="00261736"/>
    <w:rsid w:val="00270C66"/>
    <w:rsid w:val="002779EB"/>
    <w:rsid w:val="00284D31"/>
    <w:rsid w:val="00285C4B"/>
    <w:rsid w:val="00292455"/>
    <w:rsid w:val="002B2B9A"/>
    <w:rsid w:val="002B418E"/>
    <w:rsid w:val="002B4600"/>
    <w:rsid w:val="002C45B0"/>
    <w:rsid w:val="002E0F5B"/>
    <w:rsid w:val="002F1D02"/>
    <w:rsid w:val="00300D01"/>
    <w:rsid w:val="00304EFD"/>
    <w:rsid w:val="003062D5"/>
    <w:rsid w:val="00310BB2"/>
    <w:rsid w:val="0033347B"/>
    <w:rsid w:val="00335A3C"/>
    <w:rsid w:val="00336B8A"/>
    <w:rsid w:val="003438F5"/>
    <w:rsid w:val="003452CA"/>
    <w:rsid w:val="0035283A"/>
    <w:rsid w:val="003712FE"/>
    <w:rsid w:val="00373584"/>
    <w:rsid w:val="003769B6"/>
    <w:rsid w:val="0039271E"/>
    <w:rsid w:val="003C5F77"/>
    <w:rsid w:val="003E6D48"/>
    <w:rsid w:val="003E70AB"/>
    <w:rsid w:val="004069A0"/>
    <w:rsid w:val="00410869"/>
    <w:rsid w:val="00411F1C"/>
    <w:rsid w:val="00417EF0"/>
    <w:rsid w:val="00426644"/>
    <w:rsid w:val="00443D51"/>
    <w:rsid w:val="00450BD7"/>
    <w:rsid w:val="00463AA9"/>
    <w:rsid w:val="00465E58"/>
    <w:rsid w:val="004719D1"/>
    <w:rsid w:val="00484765"/>
    <w:rsid w:val="00497B52"/>
    <w:rsid w:val="004B32F5"/>
    <w:rsid w:val="004B3924"/>
    <w:rsid w:val="004E2A65"/>
    <w:rsid w:val="00512299"/>
    <w:rsid w:val="005235A7"/>
    <w:rsid w:val="0055616F"/>
    <w:rsid w:val="00561431"/>
    <w:rsid w:val="00567A9E"/>
    <w:rsid w:val="005709F8"/>
    <w:rsid w:val="00573BE6"/>
    <w:rsid w:val="0057660C"/>
    <w:rsid w:val="005A03A6"/>
    <w:rsid w:val="005B074B"/>
    <w:rsid w:val="005B54A1"/>
    <w:rsid w:val="005D4084"/>
    <w:rsid w:val="005E57C8"/>
    <w:rsid w:val="005F66F7"/>
    <w:rsid w:val="006268CC"/>
    <w:rsid w:val="00641528"/>
    <w:rsid w:val="00656B43"/>
    <w:rsid w:val="00694A39"/>
    <w:rsid w:val="006C1747"/>
    <w:rsid w:val="006C4309"/>
    <w:rsid w:val="006D23A9"/>
    <w:rsid w:val="006D6938"/>
    <w:rsid w:val="006F6EDB"/>
    <w:rsid w:val="007011FF"/>
    <w:rsid w:val="007020DA"/>
    <w:rsid w:val="007139CA"/>
    <w:rsid w:val="00733E0C"/>
    <w:rsid w:val="00736D1B"/>
    <w:rsid w:val="007509AD"/>
    <w:rsid w:val="00755C67"/>
    <w:rsid w:val="00760DC6"/>
    <w:rsid w:val="00765C05"/>
    <w:rsid w:val="0077759F"/>
    <w:rsid w:val="007804E2"/>
    <w:rsid w:val="0078498D"/>
    <w:rsid w:val="00790BFD"/>
    <w:rsid w:val="007937DF"/>
    <w:rsid w:val="007C1AA3"/>
    <w:rsid w:val="007C1F48"/>
    <w:rsid w:val="007C7AA6"/>
    <w:rsid w:val="007D255E"/>
    <w:rsid w:val="007F41E8"/>
    <w:rsid w:val="00813420"/>
    <w:rsid w:val="00813EC4"/>
    <w:rsid w:val="00827606"/>
    <w:rsid w:val="008677B0"/>
    <w:rsid w:val="008865D7"/>
    <w:rsid w:val="008A3E4A"/>
    <w:rsid w:val="008B60E0"/>
    <w:rsid w:val="008C4FAF"/>
    <w:rsid w:val="008D5E6C"/>
    <w:rsid w:val="008E5802"/>
    <w:rsid w:val="00902042"/>
    <w:rsid w:val="00927C4A"/>
    <w:rsid w:val="00940293"/>
    <w:rsid w:val="00942B32"/>
    <w:rsid w:val="00950F8D"/>
    <w:rsid w:val="009539F1"/>
    <w:rsid w:val="00955882"/>
    <w:rsid w:val="00977075"/>
    <w:rsid w:val="0098001D"/>
    <w:rsid w:val="00980173"/>
    <w:rsid w:val="0098181B"/>
    <w:rsid w:val="009870F6"/>
    <w:rsid w:val="009C7799"/>
    <w:rsid w:val="009D5DB0"/>
    <w:rsid w:val="009F50F5"/>
    <w:rsid w:val="00A172A2"/>
    <w:rsid w:val="00A24116"/>
    <w:rsid w:val="00A35879"/>
    <w:rsid w:val="00A43DBC"/>
    <w:rsid w:val="00A625AF"/>
    <w:rsid w:val="00A827E1"/>
    <w:rsid w:val="00A94F38"/>
    <w:rsid w:val="00A96495"/>
    <w:rsid w:val="00AA20CE"/>
    <w:rsid w:val="00AA650F"/>
    <w:rsid w:val="00AA73B5"/>
    <w:rsid w:val="00AB209E"/>
    <w:rsid w:val="00AB5679"/>
    <w:rsid w:val="00AC392F"/>
    <w:rsid w:val="00AD0B22"/>
    <w:rsid w:val="00AD0C26"/>
    <w:rsid w:val="00AD0CDA"/>
    <w:rsid w:val="00B032D8"/>
    <w:rsid w:val="00B11311"/>
    <w:rsid w:val="00B17D0C"/>
    <w:rsid w:val="00B2001F"/>
    <w:rsid w:val="00B24061"/>
    <w:rsid w:val="00B32B43"/>
    <w:rsid w:val="00B42706"/>
    <w:rsid w:val="00B50377"/>
    <w:rsid w:val="00B726AB"/>
    <w:rsid w:val="00B762EE"/>
    <w:rsid w:val="00B81480"/>
    <w:rsid w:val="00BA4C72"/>
    <w:rsid w:val="00BB7A6D"/>
    <w:rsid w:val="00BD7D1F"/>
    <w:rsid w:val="00BE2BFB"/>
    <w:rsid w:val="00BE77E3"/>
    <w:rsid w:val="00BF695A"/>
    <w:rsid w:val="00C148E6"/>
    <w:rsid w:val="00C267D4"/>
    <w:rsid w:val="00C520E9"/>
    <w:rsid w:val="00C61D12"/>
    <w:rsid w:val="00C702C0"/>
    <w:rsid w:val="00C70687"/>
    <w:rsid w:val="00C81617"/>
    <w:rsid w:val="00C837E8"/>
    <w:rsid w:val="00C83889"/>
    <w:rsid w:val="00C85ED3"/>
    <w:rsid w:val="00CC34EA"/>
    <w:rsid w:val="00CD62BE"/>
    <w:rsid w:val="00CF1AA2"/>
    <w:rsid w:val="00D05E95"/>
    <w:rsid w:val="00D070DD"/>
    <w:rsid w:val="00D20997"/>
    <w:rsid w:val="00D558A9"/>
    <w:rsid w:val="00D90E60"/>
    <w:rsid w:val="00D96D46"/>
    <w:rsid w:val="00DA669D"/>
    <w:rsid w:val="00DB2624"/>
    <w:rsid w:val="00E05459"/>
    <w:rsid w:val="00E41727"/>
    <w:rsid w:val="00E56C17"/>
    <w:rsid w:val="00E66F6E"/>
    <w:rsid w:val="00EA0939"/>
    <w:rsid w:val="00EC677E"/>
    <w:rsid w:val="00ED067B"/>
    <w:rsid w:val="00ED14EE"/>
    <w:rsid w:val="00EE0426"/>
    <w:rsid w:val="00EE1B8A"/>
    <w:rsid w:val="00EF4A2B"/>
    <w:rsid w:val="00F0155B"/>
    <w:rsid w:val="00F1111C"/>
    <w:rsid w:val="00F134B3"/>
    <w:rsid w:val="00F17472"/>
    <w:rsid w:val="00F20288"/>
    <w:rsid w:val="00F44FC4"/>
    <w:rsid w:val="00F4698B"/>
    <w:rsid w:val="00F4786E"/>
    <w:rsid w:val="00F50383"/>
    <w:rsid w:val="00F63EF2"/>
    <w:rsid w:val="00F7364E"/>
    <w:rsid w:val="00F8329A"/>
    <w:rsid w:val="00F93587"/>
    <w:rsid w:val="00FB5895"/>
    <w:rsid w:val="00FC2248"/>
    <w:rsid w:val="00FC7C2B"/>
    <w:rsid w:val="00FE2735"/>
    <w:rsid w:val="00FE49CF"/>
    <w:rsid w:val="00FF2F25"/>
    <w:rsid w:val="00FF55F4"/>
    <w:rsid w:val="05ED1D79"/>
    <w:rsid w:val="51A662E5"/>
    <w:rsid w:val="64C612C6"/>
    <w:rsid w:val="736672E4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Times New Roma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qFormat="1"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iPriority="99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rPr>
      <w:rFonts w:ascii="Times New Roman" w:hAnsi="Times New Roman" w:eastAsia="Times New Roman" w:cs="Times New Roman"/>
      <w:sz w:val="24"/>
      <w:szCs w:val="24"/>
      <w:lang w:val="ru-RU" w:eastAsia="ru-RU" w:bidi="ar-SA"/>
    </w:rPr>
  </w:style>
  <w:style w:type="paragraph" w:styleId="2">
    <w:name w:val="heading 1"/>
    <w:basedOn w:val="1"/>
    <w:next w:val="1"/>
    <w:link w:val="22"/>
    <w:qFormat/>
    <w:uiPriority w:val="0"/>
    <w:pPr>
      <w:keepNext/>
      <w:outlineLvl w:val="0"/>
    </w:pPr>
    <w:rPr>
      <w:b/>
      <w:caps/>
      <w:color w:val="000000"/>
      <w:szCs w:val="20"/>
      <w:lang w:val="en-US"/>
    </w:rPr>
  </w:style>
  <w:style w:type="paragraph" w:styleId="3">
    <w:name w:val="heading 2"/>
    <w:basedOn w:val="1"/>
    <w:next w:val="1"/>
    <w:link w:val="25"/>
    <w:semiHidden/>
    <w:unhideWhenUsed/>
    <w:qFormat/>
    <w:uiPriority w:val="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4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6">
    <w:name w:val="Hyperlink"/>
    <w:qFormat/>
    <w:uiPriority w:val="0"/>
    <w:rPr>
      <w:color w:val="0000FF"/>
      <w:u w:val="single"/>
    </w:rPr>
  </w:style>
  <w:style w:type="character" w:styleId="7">
    <w:name w:val="page number"/>
    <w:basedOn w:val="4"/>
    <w:qFormat/>
    <w:uiPriority w:val="0"/>
  </w:style>
  <w:style w:type="paragraph" w:styleId="8">
    <w:name w:val="Balloon Text"/>
    <w:basedOn w:val="1"/>
    <w:link w:val="18"/>
    <w:qFormat/>
    <w:uiPriority w:val="0"/>
    <w:rPr>
      <w:rFonts w:ascii="Tahoma" w:hAnsi="Tahoma"/>
      <w:sz w:val="16"/>
      <w:szCs w:val="16"/>
    </w:rPr>
  </w:style>
  <w:style w:type="paragraph" w:styleId="9">
    <w:name w:val="Body Text Indent 3"/>
    <w:basedOn w:val="1"/>
    <w:link w:val="20"/>
    <w:qFormat/>
    <w:uiPriority w:val="0"/>
    <w:pPr>
      <w:spacing w:after="120"/>
      <w:ind w:left="283"/>
    </w:pPr>
    <w:rPr>
      <w:sz w:val="16"/>
      <w:szCs w:val="16"/>
    </w:rPr>
  </w:style>
  <w:style w:type="paragraph" w:styleId="10">
    <w:name w:val="header"/>
    <w:basedOn w:val="1"/>
    <w:link w:val="21"/>
    <w:qFormat/>
    <w:uiPriority w:val="0"/>
    <w:pPr>
      <w:tabs>
        <w:tab w:val="center" w:pos="4677"/>
        <w:tab w:val="right" w:pos="9355"/>
      </w:tabs>
    </w:pPr>
  </w:style>
  <w:style w:type="paragraph" w:styleId="11">
    <w:name w:val="Body Text"/>
    <w:basedOn w:val="1"/>
    <w:qFormat/>
    <w:uiPriority w:val="0"/>
    <w:pPr>
      <w:tabs>
        <w:tab w:val="left" w:pos="284"/>
      </w:tabs>
      <w:jc w:val="both"/>
    </w:pPr>
    <w:rPr>
      <w:rFonts w:ascii="Pragmatica" w:hAnsi="Pragmatica"/>
      <w:szCs w:val="20"/>
    </w:rPr>
  </w:style>
  <w:style w:type="paragraph" w:styleId="12">
    <w:name w:val="Title"/>
    <w:basedOn w:val="1"/>
    <w:next w:val="1"/>
    <w:link w:val="23"/>
    <w:qFormat/>
    <w:uiPriority w:val="0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paragraph" w:styleId="13">
    <w:name w:val="footer"/>
    <w:basedOn w:val="1"/>
    <w:qFormat/>
    <w:uiPriority w:val="0"/>
    <w:pPr>
      <w:tabs>
        <w:tab w:val="center" w:pos="4677"/>
        <w:tab w:val="right" w:pos="9355"/>
      </w:tabs>
    </w:pPr>
  </w:style>
  <w:style w:type="paragraph" w:styleId="14">
    <w:name w:val="Normal (Web)"/>
    <w:basedOn w:val="1"/>
    <w:qFormat/>
    <w:uiPriority w:val="99"/>
    <w:pPr>
      <w:spacing w:before="100" w:beforeAutospacing="1" w:after="100" w:afterAutospacing="1"/>
    </w:pPr>
    <w:rPr>
      <w:rFonts w:ascii="Arial Unicode MS" w:hAnsi="Arial Unicode MS" w:eastAsia="Arial Unicode MS" w:cs="Arial Unicode MS"/>
    </w:rPr>
  </w:style>
  <w:style w:type="paragraph" w:styleId="15">
    <w:name w:val="HTML Preformatted"/>
    <w:basedOn w:val="1"/>
    <w:link w:val="24"/>
    <w:unhideWhenUsed/>
    <w:uiPriority w:val="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table" w:styleId="16">
    <w:name w:val="Table Grid"/>
    <w:basedOn w:val="5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7">
    <w:name w:val="s0"/>
    <w:qFormat/>
    <w:uiPriority w:val="0"/>
    <w:rPr>
      <w:rFonts w:hint="default" w:ascii="Times New Roman" w:hAnsi="Times New Roman" w:cs="Times New Roman"/>
      <w:color w:val="000000"/>
      <w:sz w:val="28"/>
      <w:szCs w:val="28"/>
      <w:u w:val="none"/>
    </w:rPr>
  </w:style>
  <w:style w:type="character" w:customStyle="1" w:styleId="18">
    <w:name w:val="Текст выноски Знак"/>
    <w:link w:val="8"/>
    <w:qFormat/>
    <w:uiPriority w:val="0"/>
    <w:rPr>
      <w:rFonts w:ascii="Tahoma" w:hAnsi="Tahoma" w:cs="Tahoma"/>
      <w:sz w:val="16"/>
      <w:szCs w:val="16"/>
    </w:rPr>
  </w:style>
  <w:style w:type="paragraph" w:styleId="19">
    <w:name w:val="List Paragraph"/>
    <w:basedOn w:val="1"/>
    <w:qFormat/>
    <w:uiPriority w:val="34"/>
    <w:pPr>
      <w:ind w:left="720"/>
    </w:pPr>
    <w:rPr>
      <w:rFonts w:ascii="Calibri" w:hAnsi="Calibri" w:eastAsia="Calibri" w:cs="Calibri"/>
      <w:sz w:val="22"/>
      <w:szCs w:val="22"/>
    </w:rPr>
  </w:style>
  <w:style w:type="character" w:customStyle="1" w:styleId="20">
    <w:name w:val="Основной текст с отступом 3 Знак"/>
    <w:link w:val="9"/>
    <w:qFormat/>
    <w:uiPriority w:val="0"/>
    <w:rPr>
      <w:sz w:val="16"/>
      <w:szCs w:val="16"/>
    </w:rPr>
  </w:style>
  <w:style w:type="character" w:customStyle="1" w:styleId="21">
    <w:name w:val="Верхний колонтитул Знак"/>
    <w:link w:val="10"/>
    <w:qFormat/>
    <w:uiPriority w:val="0"/>
    <w:rPr>
      <w:sz w:val="24"/>
      <w:szCs w:val="24"/>
    </w:rPr>
  </w:style>
  <w:style w:type="character" w:customStyle="1" w:styleId="22">
    <w:name w:val="Заголовок 1 Знак"/>
    <w:link w:val="2"/>
    <w:qFormat/>
    <w:uiPriority w:val="0"/>
    <w:rPr>
      <w:b/>
      <w:caps/>
      <w:color w:val="000000"/>
      <w:sz w:val="24"/>
      <w:lang w:val="en-US"/>
    </w:rPr>
  </w:style>
  <w:style w:type="character" w:customStyle="1" w:styleId="23">
    <w:name w:val="Название Знак"/>
    <w:link w:val="12"/>
    <w:qFormat/>
    <w:uiPriority w:val="0"/>
    <w:rPr>
      <w:rFonts w:ascii="Cambria" w:hAnsi="Cambria" w:eastAsia="Times New Roman" w:cs="Times New Roman"/>
      <w:b/>
      <w:bCs/>
      <w:kern w:val="28"/>
      <w:sz w:val="32"/>
      <w:szCs w:val="32"/>
    </w:rPr>
  </w:style>
  <w:style w:type="character" w:customStyle="1" w:styleId="24">
    <w:name w:val="Стандартный HTML Знак"/>
    <w:link w:val="15"/>
    <w:uiPriority w:val="99"/>
    <w:rPr>
      <w:rFonts w:ascii="Courier New" w:hAnsi="Courier New" w:cs="Courier New"/>
    </w:rPr>
  </w:style>
  <w:style w:type="character" w:customStyle="1" w:styleId="25">
    <w:name w:val="Заголовок 2 Знак"/>
    <w:link w:val="3"/>
    <w:semiHidden/>
    <w:qFormat/>
    <w:uiPriority w:val="0"/>
    <w:rPr>
      <w:rFonts w:ascii="Cambria" w:hAnsi="Cambria" w:eastAsia="Times New Roman" w:cs="Times New Roman"/>
      <w:b/>
      <w:bCs/>
      <w:i/>
      <w:iCs/>
      <w:sz w:val="28"/>
      <w:szCs w:val="28"/>
    </w:rPr>
  </w:style>
  <w:style w:type="character" w:customStyle="1" w:styleId="26">
    <w:name w:val="y2iqfc"/>
    <w:qFormat/>
    <w:uiPriority w:val="0"/>
  </w:style>
  <w:style w:type="character" w:customStyle="1" w:styleId="27">
    <w:name w:val="s1"/>
    <w:qFormat/>
    <w:uiPriority w:val="0"/>
    <w:rPr>
      <w:rFonts w:hint="default" w:ascii="Times New Roman" w:hAnsi="Times New Roman" w:cs="Times New Roman"/>
      <w:b/>
      <w:bCs/>
      <w:color w:val="000000"/>
      <w:sz w:val="20"/>
      <w:szCs w:val="20"/>
      <w:u w:val="none"/>
    </w:rPr>
  </w:style>
  <w:style w:type="character" w:customStyle="1" w:styleId="28">
    <w:name w:val="anegp0gi0b9av8jahpyh"/>
    <w:basedOn w:val="4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2</Pages>
  <Words>496</Words>
  <Characters>3829</Characters>
  <Lines>31</Lines>
  <Paragraphs>8</Paragraphs>
  <TotalTime>37</TotalTime>
  <ScaleCrop>false</ScaleCrop>
  <LinksUpToDate>false</LinksUpToDate>
  <CharactersWithSpaces>4303</CharactersWithSpaces>
  <Application>WPS Office_12.1.0.29162_F1E327BC-269C-435d-A152-05C5408002CA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2025-10-31T11:51:00Z</dcterms:created>
  <dc:creator>Aigerim.Medeubekova</dc:creator>
  <cp:lastModifiedBy>КГКП "Поликлиника №2 смешанного типа г. Семей"</cp:lastModifiedBy>
  <cp:lastPrinted>2021-08-20T09:31:00Z</cp:lastPrinted>
  <dcterms:modified xsi:type="dcterms:W3CDTF">2026-10-22T11:02:40Z</dcterms:modified>
  <dc:title>Кому:________________</dc:title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eyJoZGlkIjoiZjQyMGE1NTAwOGJlODMyMzhiNmIzMGFkNmE3OTdkZjgiLCJ1c2VySWQiOiI1MzYwMTI3NzkyODg2In0=</vt:lpwstr>
  </property>
  <property fmtid="{D5CDD505-2E9C-101B-9397-08002B2CF9AE}" pid="3" name="KSOProductBuildVer">
    <vt:lpwstr>1049-12.1.0.29162</vt:lpwstr>
  </property>
  <property fmtid="{D5CDD505-2E9C-101B-9397-08002B2CF9AE}" pid="4" name="ICV">
    <vt:lpwstr>881F827407604A6A99D1758D473B811D_13</vt:lpwstr>
  </property>
</Properties>
</file>