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990" w:rsidRDefault="00105990">
      <w:pPr>
        <w:pStyle w:val="a4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105990" w:rsidRDefault="004B0823">
      <w:pPr>
        <w:pStyle w:val="a4"/>
        <w:pBdr>
          <w:bottom w:val="single" w:sz="8" w:space="9" w:color="4F81BD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ТЕХНИЧЕСКАЯ СПЕЦИФИКАЦИЯ</w:t>
      </w:r>
    </w:p>
    <w:p w:rsidR="00105990" w:rsidRDefault="004B0823">
      <w:pPr>
        <w:spacing w:after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</w:t>
      </w:r>
    </w:p>
    <w:tbl>
      <w:tblPr>
        <w:tblStyle w:val="affb"/>
        <w:tblW w:w="10540" w:type="dxa"/>
        <w:jc w:val="center"/>
        <w:tblLayout w:type="fixed"/>
        <w:tblLook w:val="0400" w:firstRow="0" w:lastRow="0" w:firstColumn="0" w:lastColumn="0" w:noHBand="0" w:noVBand="1"/>
      </w:tblPr>
      <w:tblGrid>
        <w:gridCol w:w="2552"/>
        <w:gridCol w:w="7988"/>
      </w:tblGrid>
      <w:tr w:rsidR="00105990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Комплексная услуга по оснащению, подключению, техническому сопровождению и обеспечению функционирования медицинского пункта организации среднего (начального, основного среднего, общего среднего) образования цифровыми медицинскими изделиями и телемедицинской системой.</w:t>
            </w:r>
          </w:p>
        </w:tc>
      </w:tr>
      <w:tr w:rsidR="00105990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Одна услуга на один объект (медицинский пункт организации образования) на период действия договора.</w:t>
            </w:r>
          </w:p>
        </w:tc>
      </w:tr>
      <w:tr w:rsidR="00105990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Количество объектов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5025F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E5025F" w:rsidRPr="00E5025F" w:rsidRDefault="00E50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kk-KZ"/>
              </w:rPr>
              <w:t xml:space="preserve">Количество медоборудования 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E5025F" w:rsidRPr="00E5025F" w:rsidRDefault="0071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kk-KZ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  <w:bookmarkStart w:id="0" w:name="_GoBack"/>
            <w:bookmarkEnd w:id="0"/>
            <w:r w:rsidR="00E5025F">
              <w:rPr>
                <w:color w:val="000000"/>
                <w:sz w:val="20"/>
                <w:szCs w:val="20"/>
                <w:lang w:val="kk-KZ"/>
              </w:rPr>
              <w:t xml:space="preserve"> комплект для ГКП на ПХВ МУН РБ</w:t>
            </w:r>
          </w:p>
        </w:tc>
      </w:tr>
      <w:tr w:rsidR="00105990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оказания услуг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Pr="00E5025F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lang w:val="kk-KZ"/>
              </w:rPr>
            </w:pPr>
            <w:r>
              <w:rPr>
                <w:color w:val="000000"/>
                <w:sz w:val="20"/>
                <w:szCs w:val="20"/>
              </w:rPr>
              <w:t>До 31 декабря 2026 года</w:t>
            </w:r>
            <w:r w:rsidR="00E5025F">
              <w:rPr>
                <w:color w:val="000000"/>
                <w:sz w:val="20"/>
                <w:szCs w:val="20"/>
                <w:lang w:val="kk-KZ"/>
              </w:rPr>
              <w:t xml:space="preserve"> 3мес</w:t>
            </w:r>
          </w:p>
        </w:tc>
      </w:tr>
      <w:tr w:rsidR="00105990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Срок поставки оборудования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E502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течение </w:t>
            </w:r>
            <w:r w:rsidR="00D224BB" w:rsidRPr="00D224BB">
              <w:rPr>
                <w:color w:val="000000"/>
                <w:sz w:val="20"/>
                <w:szCs w:val="20"/>
                <w:lang w:val="ru-RU"/>
              </w:rPr>
              <w:t>61</w:t>
            </w:r>
            <w:r>
              <w:rPr>
                <w:color w:val="000000"/>
                <w:sz w:val="20"/>
                <w:szCs w:val="20"/>
                <w:lang w:val="kk-KZ"/>
              </w:rPr>
              <w:t xml:space="preserve"> </w:t>
            </w:r>
            <w:r w:rsidR="004B0823">
              <w:rPr>
                <w:color w:val="000000"/>
                <w:sz w:val="20"/>
                <w:szCs w:val="20"/>
              </w:rPr>
              <w:t xml:space="preserve"> календарного дня </w:t>
            </w:r>
            <w:proofErr w:type="gramStart"/>
            <w:r w:rsidR="004B0823">
              <w:rPr>
                <w:color w:val="000000"/>
                <w:sz w:val="20"/>
                <w:szCs w:val="20"/>
              </w:rPr>
              <w:t>с даты подписания</w:t>
            </w:r>
            <w:proofErr w:type="gramEnd"/>
            <w:r w:rsidR="004B0823">
              <w:rPr>
                <w:color w:val="000000"/>
                <w:sz w:val="20"/>
                <w:szCs w:val="20"/>
              </w:rPr>
              <w:t xml:space="preserve"> Договора в областной центр (по адресу, указанному Заказчиком)</w:t>
            </w:r>
          </w:p>
        </w:tc>
      </w:tr>
      <w:tr w:rsidR="00105990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Место оказания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Место поставки оборудования – областной центр </w:t>
            </w:r>
            <w:r w:rsidR="00D224BB">
              <w:rPr>
                <w:color w:val="000000"/>
                <w:sz w:val="20"/>
                <w:szCs w:val="20"/>
                <w:lang w:val="kk-KZ"/>
              </w:rPr>
              <w:t xml:space="preserve">для Мун РБ </w:t>
            </w:r>
            <w:r>
              <w:rPr>
                <w:color w:val="000000"/>
                <w:sz w:val="20"/>
                <w:szCs w:val="20"/>
              </w:rPr>
              <w:t>Транспортировку оборудования из областного центра до объектов обеспечивает Заказчик. Подключение, настройка, обучение и техническая поддержка оказываются дистанционно согласно перечню объектов Заказчика (Приложение 1 к настоящей технической спецификации).</w:t>
            </w:r>
          </w:p>
        </w:tc>
      </w:tr>
      <w:tr w:rsidR="00105990">
        <w:trPr>
          <w:jc w:val="center"/>
        </w:trPr>
        <w:tc>
          <w:tcPr>
            <w:tcW w:w="2552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Модель оказания услуги</w:t>
            </w:r>
          </w:p>
        </w:tc>
        <w:tc>
          <w:tcPr>
            <w:tcW w:w="7988" w:type="dxa"/>
            <w:tcBorders>
              <w:top w:val="single" w:sz="4" w:space="0" w:color="777777"/>
              <w:left w:val="single" w:sz="4" w:space="0" w:color="777777"/>
              <w:bottom w:val="single" w:sz="4" w:space="0" w:color="777777"/>
              <w:right w:val="single" w:sz="4" w:space="0" w:color="777777"/>
            </w:tcBorders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Медицинские изделия и оборудование предоставляются Поставщиком во временное пользование на срок оказания услуги </w:t>
            </w:r>
          </w:p>
        </w:tc>
      </w:tr>
    </w:tbl>
    <w:p w:rsidR="00105990" w:rsidRDefault="00105990">
      <w:pPr>
        <w:spacing w:after="0"/>
        <w:rPr>
          <w:sz w:val="20"/>
          <w:szCs w:val="20"/>
        </w:rPr>
      </w:pPr>
    </w:p>
    <w:p w:rsidR="00105990" w:rsidRDefault="00105990">
      <w:pPr>
        <w:spacing w:after="0"/>
        <w:rPr>
          <w:sz w:val="20"/>
          <w:szCs w:val="20"/>
        </w:rPr>
      </w:pPr>
    </w:p>
    <w:tbl>
      <w:tblPr>
        <w:tblStyle w:val="affc"/>
        <w:tblW w:w="105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3"/>
        <w:gridCol w:w="1559"/>
        <w:gridCol w:w="7177"/>
        <w:gridCol w:w="1400"/>
      </w:tblGrid>
      <w:tr w:rsidR="00105990">
        <w:trPr>
          <w:tblHeader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Тип характеристик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Описание требований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Тип требования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Общие требования к услуге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Поставщик оказывает комплексную услугу «под ключ», включающую: предоставление медицинских изделий во временное пользование; доставку в областной центр; предварительную настройку; дистанционное сопровождение установки и подключения к телемедицинской системе; ввод в эксплуатацию; обучение; техническое обслуживание, ремонт и замену; предоставление лицензий и обновлений; техническую поддержку и ежемесячную отчетность. Все расходы, необходимые для полного оказания услуги, включаются в стоимость договора.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Нормативные требования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Услуга оказывается с соблюдением законодательства Республики Казахстан о здравоохранении, государственных закупках, персональных данных, информатизации, санитарно-эпидемиологическом благополучии, электробезопасности и охране труда. Медицинские изделия, подлежащие регистрации, должны иметь действующее регистрационное удостоверение Республики Казахстан и/или ЕАЭС, разрешающее обращение на территории Республики Казахстан.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Состав базового комплекта на один объект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proofErr w:type="spellStart"/>
            <w:r>
              <w:rPr>
                <w:color w:val="000000"/>
                <w:sz w:val="20"/>
                <w:szCs w:val="20"/>
              </w:rPr>
              <w:t>Стетофонендоскоп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цифровой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– 1 единица.</w:t>
            </w:r>
          </w:p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proofErr w:type="spellStart"/>
            <w:r>
              <w:rPr>
                <w:color w:val="000000"/>
                <w:sz w:val="20"/>
                <w:szCs w:val="20"/>
              </w:rPr>
              <w:t>Пульсоксиметр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цифровой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– 1 единица.</w:t>
            </w:r>
          </w:p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>. Отоскоп цифровой – 1 единица.</w:t>
            </w:r>
          </w:p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>. Горловая камера цифровая – 1 единица.</w:t>
            </w:r>
          </w:p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>. Телемедицинская система – 1 комплект.</w:t>
            </w:r>
          </w:p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6.Электрокардиограф многоканальный цифровой - 1 единица</w:t>
            </w:r>
          </w:p>
          <w:p w:rsidR="00105990" w:rsidRDefault="001059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компле</w:t>
            </w:r>
            <w:proofErr w:type="gramStart"/>
            <w:r>
              <w:rPr>
                <w:color w:val="000000"/>
                <w:sz w:val="20"/>
                <w:szCs w:val="20"/>
              </w:rPr>
              <w:t>кт вкл</w:t>
            </w:r>
            <w:proofErr w:type="gramEnd"/>
            <w:r>
              <w:rPr>
                <w:color w:val="000000"/>
                <w:sz w:val="20"/>
                <w:szCs w:val="20"/>
              </w:rPr>
              <w:t>ючаются штатные принадлежности, кабели, зарядные устройства, аккумуляторы, лицензии и стартовые расходные материалы.</w:t>
            </w:r>
          </w:p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Допускается исполнение нескольких позиций в составе одного многофункционального медицинского изделия при условии, что соответствующие функции подтверждены регистрационным удостоверением и эксплуатационной документацией производителя.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05990" w:rsidRDefault="004B0823">
            <w:pPr>
              <w:spacing w:after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Электрокардиограф многоканальный цифровой</w:t>
            </w:r>
          </w:p>
        </w:tc>
        <w:tc>
          <w:tcPr>
            <w:tcW w:w="71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05990" w:rsidRDefault="004B0823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Назначение: регистрация, хранение и передача ЭКГ учащегося. </w:t>
            </w:r>
            <w:proofErr w:type="gramStart"/>
            <w:r>
              <w:rPr>
                <w:sz w:val="20"/>
                <w:szCs w:val="20"/>
              </w:rPr>
              <w:t>Минимально: одновременная регистрация 12 стандартных отведений; не менее 6 каналов регистрации/печати с полным 12-канальным отчетом; дискретизация не менее 500 Гц; входное сопротивление не менее 10 МОм; подавление синфазной помехи не менее 100 дБ; скорости 25 и 50 мм/с; чувствительность 5, 10 и 20 мм/мВ; фильтры сетевой помехи, дрейфа и мышечного тремора;</w:t>
            </w:r>
            <w:proofErr w:type="gramEnd"/>
            <w:r>
              <w:rPr>
                <w:sz w:val="20"/>
                <w:szCs w:val="20"/>
              </w:rPr>
              <w:t xml:space="preserve"> режимы для детей и взрослых; автоматическое измерение интервалов; память не менее 100 исследований либо хранение в телемедицинской системе; экспорт PDF и машиночитаемого формата; USB/</w:t>
            </w:r>
            <w:proofErr w:type="spellStart"/>
            <w:r>
              <w:rPr>
                <w:sz w:val="20"/>
                <w:szCs w:val="20"/>
              </w:rPr>
              <w:t>Wi-Fi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Bluetooth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Ethernet</w:t>
            </w:r>
            <w:proofErr w:type="spellEnd"/>
            <w:r>
              <w:rPr>
                <w:sz w:val="20"/>
                <w:szCs w:val="20"/>
              </w:rPr>
              <w:t>; автономная работа не менее 2 часов. Комплект: кабель пациента, взрослые и детские электроды, питание, аккумулятор, кейс, бумага при наличии принтера.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1059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Стетофонендоскоп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Назначение: аускультация, запись и дистанционная передача звуков сердца и легких. </w:t>
            </w:r>
            <w:proofErr w:type="gramStart"/>
            <w:r>
              <w:rPr>
                <w:color w:val="000000"/>
                <w:sz w:val="20"/>
                <w:szCs w:val="20"/>
              </w:rPr>
              <w:t>Режимы сердца и легких; диапазон частот не уже 20–2 000 Гц либо эквивалентный; запись не менее 30 секунд; передача в реальном времени и/или записи; регулировка усиления и громкости воспроизведения с подавлением фонового шума; вывод звука на накладные наушники (импеданс 32 Ом, частотная характеристика 20 Гц – 20 кГц) в комплекте поставки;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USB и/или беспроводное подключение; автономная работа не менее 4 часов; дезинфицируемые контактные поверхности; зарядное устройство и кейс.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Пульсоксиметр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Диапазон </w:t>
            </w:r>
            <w:proofErr w:type="spellStart"/>
            <w:r>
              <w:rPr>
                <w:color w:val="000000"/>
                <w:sz w:val="20"/>
                <w:szCs w:val="20"/>
              </w:rPr>
              <w:t>SpO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₂ не уже 70–100 %; погрешность в диапазоне 80–100 % не более ±2 %; частота пульса не уже 30–240 уд/мин; погрешность не более ±3 уд/мин или ±3 %; отображение </w:t>
            </w:r>
            <w:proofErr w:type="spellStart"/>
            <w:r>
              <w:rPr>
                <w:color w:val="000000"/>
                <w:sz w:val="20"/>
                <w:szCs w:val="20"/>
              </w:rPr>
              <w:t>SpO</w:t>
            </w:r>
            <w:proofErr w:type="spellEnd"/>
            <w:r>
              <w:rPr>
                <w:color w:val="000000"/>
                <w:sz w:val="20"/>
                <w:szCs w:val="20"/>
              </w:rPr>
              <w:t>₂, пульса, качества сигнала/</w:t>
            </w:r>
            <w:proofErr w:type="spellStart"/>
            <w:r>
              <w:rPr>
                <w:color w:val="000000"/>
                <w:sz w:val="20"/>
                <w:szCs w:val="20"/>
              </w:rPr>
              <w:t>плетизмограммы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заряда; сигнализация пределов; датчик для детей школьного возраста и взрослых; автономное питание; сохранение результата в телемедицинской системе автоматически либо оператором.</w:t>
            </w:r>
            <w:proofErr w:type="gramEnd"/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Горловая камера цифровая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Разрешение не менее 1280×720; светодиодная подсветка; фокусировка для осмотра полости рта и зева; захват изображения с корпуса либо </w:t>
            </w:r>
            <w:proofErr w:type="spellStart"/>
            <w:r>
              <w:rPr>
                <w:color w:val="000000"/>
                <w:sz w:val="20"/>
                <w:szCs w:val="20"/>
              </w:rPr>
              <w:t>программно</w:t>
            </w:r>
            <w:proofErr w:type="spellEnd"/>
            <w:r>
              <w:rPr>
                <w:color w:val="000000"/>
                <w:sz w:val="20"/>
                <w:szCs w:val="20"/>
              </w:rPr>
              <w:t>; USB и/или беспроводная передача; фото с привязкой к пациенту; совместимость с телемедицинской системой; возможность дезинфекции и применения одноразовых наконечников не менее двух типоразмеров; стартовый комплект наконечников.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Отоскоп цифровой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Цветная камера не менее 1280×720; светодиодная подсветка; регистрация серии кадров с автоматическим отбором кадра медицинского качества; передача изображения в реальном времени; сменные воронки для детей и взрослых не менее двух типоразмеров; возможность применения одноразовых воронок; USB и/или </w:t>
            </w:r>
            <w:proofErr w:type="spellStart"/>
            <w:r>
              <w:rPr>
                <w:color w:val="000000"/>
                <w:sz w:val="20"/>
                <w:szCs w:val="20"/>
              </w:rPr>
              <w:t>Wi-Fi</w:t>
            </w:r>
            <w:proofErr w:type="spellEnd"/>
            <w:r>
              <w:rPr>
                <w:color w:val="000000"/>
                <w:sz w:val="20"/>
                <w:szCs w:val="20"/>
              </w:rPr>
              <w:t>; автономная работа не менее 2 часов; возможность обработки согласно инструкции производителя.</w:t>
            </w:r>
            <w:proofErr w:type="gramEnd"/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Аппаратная часть телемедицинской системы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Планшет: экран не менее 8 дюймов, ОЗУ не менее 4 ГБ, накопитель не менее 64 ГБ, камера и микрофон; внешняя камера при недостаточности встроенной; </w:t>
            </w:r>
            <w:proofErr w:type="spellStart"/>
            <w:r>
              <w:rPr>
                <w:color w:val="000000"/>
                <w:sz w:val="20"/>
                <w:szCs w:val="20"/>
              </w:rPr>
              <w:t>Wi-Fi</w:t>
            </w:r>
            <w:proofErr w:type="spellEnd"/>
            <w:r>
              <w:rPr>
                <w:color w:val="000000"/>
                <w:sz w:val="20"/>
                <w:szCs w:val="20"/>
              </w:rPr>
              <w:t>; лицензионная ОС и защитное ПО; накладные наушники с микрофоном; защитный кейс; кабели и адаптеры. Комплект обеспечивает видеосвязь и получение данных хотя бы от одного медицинского изделия одновременно.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Телемедицинское программное обеспечение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Регистрация пациента и электронная карточка обследования; наличие сертификата информационной безопасности; защищенная </w:t>
            </w:r>
            <w:proofErr w:type="spellStart"/>
            <w:r>
              <w:rPr>
                <w:color w:val="000000"/>
                <w:sz w:val="20"/>
                <w:szCs w:val="20"/>
              </w:rPr>
              <w:t>видеоконсультация</w:t>
            </w:r>
            <w:proofErr w:type="spellEnd"/>
            <w:r>
              <w:rPr>
                <w:color w:val="000000"/>
                <w:sz w:val="20"/>
                <w:szCs w:val="20"/>
              </w:rPr>
              <w:t>; передача изображений, видео, звука и числовых показателей; сохранение даты, времени, устройства и пользователя; ввод жалоб, анамнеза, заключения и рекомендаций; формирование протокола осмотра и его экспорт в PDF; журнал действий пользователей; ролевой доступ; фиксация информированного согласия; интерфейс на русском и казахском языках;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поиск и отчеты; резервирование; обновления без доплаты; отсутствие рекламы.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Интеграция и совместимость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Документированные открытые интерфейсы REST API и/или HL7 FHIR; экспорт данных без закрытой привязки к одному производителю; форматы JSON/XML/PDF/JPEG/PNG/WAV/MP4 по типу данных; интеграция с информационными системами МЗ РК и Заказчика при предоставлении технических условий со стороны Заказчика; лицензии интеграционного модуля включены в стоимость; до завершения интеграции доступна безопасная ручная выгрузка/загрузка данных.</w:t>
            </w:r>
            <w:proofErr w:type="gramEnd"/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Информационная безопасность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Хранение медицинских данных на территории Республики Казахстан; соблюдение единых требований в области информационной безопасности Республики Казахстан; TLS не ниже 1.2; защита данных при хранении; многофакторная аутентификация для администраторов и медицинских работников; журнал входов, просмотров, изменений и выгрузок; автоматическое завершение неактивной сессии; минимальные права доступа; резервное копирование не реже раза в сутки;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уведомление Заказчика об инциденте информационной безопасности не позднее 2 часов; запрет рекламного использования персональных медицинских данных и их передачи третьим лицам без законного основания; обработка обезличенных данных в статистических, научных и исследовательских целях, включая совершенствование алгоритмов поддержки принятия врачебных решений, допускается при условии необратимого обезличивания и в соответствии с законодательством Республики Казахстан о персональных данных;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передача и удаление данных по окончании договора в установленном порядке.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Доставка и ввод в эксплуатацию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Доставка оборудования по адресу в областном центре, указанному Заказчиком, и передача по акту приема-передачи; оборудование поставляется в предварительно настроенном виде (установлено ПО, созданы учетные записи, сопряжены устройства); транспортировку оборудования из областного центра до объектов и его размещение обеспечивает Заказчик; Поставщик предоставляет требования к помещению и сети и инструкцию по установке; дистанционно сопровождает подключение, проверку каждого изделия, тестовую </w:t>
            </w:r>
            <w:proofErr w:type="spellStart"/>
            <w:r>
              <w:rPr>
                <w:color w:val="000000"/>
                <w:sz w:val="20"/>
                <w:szCs w:val="20"/>
              </w:rPr>
              <w:t>видеоконсультацию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передачу результатов; маркировка сервисными номерами; передача инструкций; акт готовности и акт ввода в эксплуатацию. Срок запуска одного объекта – не более 10 рабочих дней </w:t>
            </w:r>
            <w:proofErr w:type="gramStart"/>
            <w:r>
              <w:rPr>
                <w:color w:val="000000"/>
                <w:sz w:val="20"/>
                <w:szCs w:val="20"/>
              </w:rPr>
              <w:t>с даты доставки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Заказчиком оборудования на объект при условии обеспечения Заказчиком готового помещения и доступа к сети Интернет, если договором не установлено иное.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Обучение пользователей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Обучение не менее двух медицинских работников и одного администратора по каждому объекту в удаленном формате (онлайн); по заявке Заказчика допускается групповое очное обучение в областном центре. Темы: безопасная эксплуатация, обследования и качество данных, работа в системе, защита данных, обращение в поддержку, действия при отказах. Не менее 1 академического часа. Инструкции и видеоматериалы; одно повторное обучение при смене персонала по заявке Заказчика.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Техническое обслуживание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Профилактическое обслуживание в объеме и с периодичностью, установленными эксплуатационной документацией производителя медицинского изделия (дистанционно и/или в областном центре); дистанционный мониторинг работоспособности и профилактическое обслуживание программной части; дистанционная диагностика; ремонт и замена с приемом неисправного оборудования в областном центре (доставку оборудования от объекта до областного центра и обратно обеспечивает Заказчик);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поверка/калибровка при применимости; обновление ПО; журнал обслуживания; запасные части и расходные материалы; подменное оборудование с характеристиками не ниже </w:t>
            </w:r>
            <w:proofErr w:type="gramStart"/>
            <w:r>
              <w:rPr>
                <w:color w:val="000000"/>
                <w:sz w:val="20"/>
                <w:szCs w:val="20"/>
              </w:rPr>
              <w:t>установленных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на время ремонта.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Качество и состояние оборудования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 первоначальном вводе оборудование новое, не бывшее в употреблении, не восстановленное, без дефектов; </w:t>
            </w:r>
            <w:r>
              <w:rPr>
                <w:sz w:val="20"/>
                <w:szCs w:val="20"/>
              </w:rPr>
              <w:t>маркировка и серийные номера совпадают с документами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Гарантия, замена и SLA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Гарантия действует весь срок оказания услуги и не менее 12 месяцев </w:t>
            </w:r>
            <w:proofErr w:type="gramStart"/>
            <w:r>
              <w:rPr>
                <w:color w:val="000000"/>
                <w:sz w:val="20"/>
                <w:szCs w:val="20"/>
              </w:rPr>
              <w:t>с даты ввода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в эксплуатацию. Критическая неисправность: начало удаленной диагностики не позднее 2 часов; передача подменного устройства Заказчику в областном центре – не позднее 3 рабочих дней; замена не позднее 7 рабочих дней. Доступность платформы не менее 99,5 % в месяц. Критический инцидент: реакция 2 часа, обходное решение/восстановление 24 часа; значительный: реакция 6 часов, устранение 3 рабочих дня; некритический: реакция 5 рабочих дней.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Документация Поставщика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Перечень оборудования с моделями, серийными номерами и годом выпуска; регистрационные удостоверения; инструкции на русском и/или казахском языке; документы поверки/калибровки при применимости; сертификаты/декларации на немедицинское оборудование при применимости; лицензии ПО; сертификат/протокол испытаний информационной безопасности; описание архитектуры и мер информационной безопасности; регламент поддержки; программа и протокол обучения; акты ввода в эксплуатацию;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протокол приемочных испытаний.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Приемочные испытания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Приемочные испытания проводятся дистанционно (по видеосвязи) с участием персонала Заказчика. Проверяются комплектность; работа всех устройств; тестовое измерение; сохранение результата в карточке пациента; передача </w:t>
            </w:r>
            <w:proofErr w:type="spellStart"/>
            <w:r>
              <w:rPr>
                <w:color w:val="000000"/>
                <w:sz w:val="20"/>
                <w:szCs w:val="20"/>
              </w:rPr>
              <w:t>аускультативного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звука, </w:t>
            </w:r>
            <w:proofErr w:type="spellStart"/>
            <w:r>
              <w:rPr>
                <w:color w:val="000000"/>
                <w:sz w:val="20"/>
                <w:szCs w:val="20"/>
              </w:rPr>
              <w:t>SpO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₂, роста/веса и изображения отоскопа; </w:t>
            </w:r>
            <w:proofErr w:type="spellStart"/>
            <w:r>
              <w:rPr>
                <w:color w:val="000000"/>
                <w:sz w:val="20"/>
                <w:szCs w:val="20"/>
              </w:rPr>
              <w:t>видеоконсультация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не менее 10 минут; формирование PDF; роли и журнал действий; резервирование; обучение. Несоответствия устраняются за счет Поставщика не более чем за 5 рабочих дней.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Ежемесячная отчетность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 акту оказанных услуг прилагаются: перечень действующих объектов и оборудования; доступность; обращения и сроки устранения; профилактика, ремонты и замены; обновления; обучения; инциденты информационной безопасности; подтверждение действующих лицензий.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Завершение услуги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Поставщик передает данные, протоколы, журналы и отчеты в согласованном машиночитаемом формате; обеспечивает переходный доступ не менее 30 календарных дней, если договором не установлено иное; Заказчик возвращает оборудование по согласованному адресу в областном центре, откуда Поставщик его вывозит; оформляет акты возврата и миграции. Удаление данных – только после письменного подтверждения Заказчика и с учетом сроков хранения медицинской документации.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  <w:tr w:rsidR="00105990">
        <w:trPr>
          <w:cantSplit/>
          <w:jc w:val="center"/>
        </w:trPr>
        <w:tc>
          <w:tcPr>
            <w:tcW w:w="423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Дополнительные требования</w:t>
            </w:r>
          </w:p>
        </w:tc>
        <w:tc>
          <w:tcPr>
            <w:tcW w:w="7177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Требования не содержат товарных знаков, производителя или страны происхождения. Допускаются эквивалентные или более высокие характеристики при сохранении назначения, совместимости и безопасности. Поставщик не вправе требовать дополнительных лицензий, оборудования или услуг, необходимых для исполнения спецификации. Все лицензии легальны и действуют весь период. Поддержка и документы – на русском языке, казахский язык – по запросу Заказчика.</w:t>
            </w:r>
          </w:p>
        </w:tc>
        <w:tc>
          <w:tcPr>
            <w:tcW w:w="1400" w:type="dxa"/>
            <w:tcMar>
              <w:top w:w="55" w:type="dxa"/>
              <w:left w:w="65" w:type="dxa"/>
              <w:bottom w:w="55" w:type="dxa"/>
              <w:right w:w="65" w:type="dxa"/>
            </w:tcMar>
          </w:tcPr>
          <w:p w:rsidR="00105990" w:rsidRDefault="004B08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Обязательное</w:t>
            </w:r>
          </w:p>
        </w:tc>
      </w:tr>
    </w:tbl>
    <w:p w:rsidR="00105990" w:rsidRDefault="00105990">
      <w:pPr>
        <w:spacing w:after="0"/>
        <w:rPr>
          <w:sz w:val="20"/>
          <w:szCs w:val="20"/>
        </w:rPr>
      </w:pPr>
    </w:p>
    <w:sectPr w:rsidR="00105990">
      <w:headerReference w:type="default" r:id="rId9"/>
      <w:footerReference w:type="default" r:id="rId10"/>
      <w:pgSz w:w="12240" w:h="15840"/>
      <w:pgMar w:top="850" w:right="850" w:bottom="850" w:left="850" w:header="39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DF3" w:rsidRDefault="00E51DF3">
      <w:pPr>
        <w:spacing w:after="0" w:line="240" w:lineRule="auto"/>
      </w:pPr>
      <w:r>
        <w:separator/>
      </w:r>
    </w:p>
  </w:endnote>
  <w:endnote w:type="continuationSeparator" w:id="0">
    <w:p w:rsidR="00E51DF3" w:rsidRDefault="00E51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258458BC-C900-4A1D-8A07-AAB9505FF062}"/>
    <w:embedBold r:id="rId2" w:fontKey="{6326FE90-8BE8-4808-8EE0-53CB4CBB0600}"/>
    <w:embedItalic r:id="rId3" w:fontKey="{1960719E-95BA-45D2-84F4-88ECAB1D50FE}"/>
    <w:embedBoldItalic r:id="rId4" w:fontKey="{072672B0-CED2-4D05-B5DF-C82FBCDCABFC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E5C44614-F7C6-445E-A72A-073E70FE50B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990" w:rsidRDefault="004B082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  <w:sz w:val="16"/>
        <w:szCs w:val="16"/>
      </w:rPr>
      <w:t xml:space="preserve">Страница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7170C6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DF3" w:rsidRDefault="00E51DF3">
      <w:pPr>
        <w:spacing w:after="0" w:line="240" w:lineRule="auto"/>
      </w:pPr>
      <w:r>
        <w:separator/>
      </w:r>
    </w:p>
  </w:footnote>
  <w:footnote w:type="continuationSeparator" w:id="0">
    <w:p w:rsidR="00E51DF3" w:rsidRDefault="00E51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990" w:rsidRDefault="004B082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i/>
        <w:iCs/>
        <w:color w:val="646464"/>
        <w:sz w:val="16"/>
        <w:szCs w:val="16"/>
      </w:rPr>
      <w:t>Техническая спецификация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E11A4"/>
    <w:multiLevelType w:val="multilevel"/>
    <w:tmpl w:val="CEF4E0E2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05990"/>
    <w:rsid w:val="00105990"/>
    <w:rsid w:val="004B0823"/>
    <w:rsid w:val="00551C60"/>
    <w:rsid w:val="007170C6"/>
    <w:rsid w:val="00D224BB"/>
    <w:rsid w:val="00E5025F"/>
    <w:rsid w:val="00E5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</w:style>
  <w:style w:type="paragraph" w:styleId="1">
    <w:name w:val="heading 1"/>
    <w:basedOn w:val="a0"/>
    <w:next w:val="a0"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2">
    <w:name w:val="heading 2"/>
    <w:basedOn w:val="a0"/>
    <w:next w:val="a0"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3">
    <w:name w:val="heading 3"/>
    <w:basedOn w:val="a0"/>
    <w:next w:val="a0"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4">
    <w:name w:val="heading 4"/>
    <w:basedOn w:val="a0"/>
    <w:next w:val="a0"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5">
    <w:name w:val="heading 5"/>
    <w:basedOn w:val="a0"/>
    <w:next w:val="a0"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6">
    <w:name w:val="heading 6"/>
    <w:basedOn w:val="a0"/>
    <w:next w:val="a0"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7">
    <w:name w:val="heading 7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4">
    <w:name w:val="Title"/>
    <w:basedOn w:val="a0"/>
    <w:next w:val="a0"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b/>
      <w:bCs/>
      <w:color w:val="17365D"/>
      <w:sz w:val="30"/>
      <w:szCs w:val="30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5">
    <w:name w:val="header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E618BF"/>
  </w:style>
  <w:style w:type="paragraph" w:styleId="a7">
    <w:name w:val="footer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a">
    <w:name w:val="Заголовок Знак"/>
    <w:basedOn w:val="a1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Подзаголовок Знак"/>
    <w:basedOn w:val="a1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List Paragraph"/>
    <w:uiPriority w:val="34"/>
    <w:qFormat/>
    <w:rsid w:val="00FC693F"/>
    <w:pPr>
      <w:ind w:left="720"/>
      <w:contextualSpacing/>
    </w:pPr>
  </w:style>
  <w:style w:type="paragraph" w:styleId="ad">
    <w:name w:val="Body Text"/>
    <w:link w:val="ae"/>
    <w:uiPriority w:val="99"/>
    <w:unhideWhenUsed/>
    <w:rsid w:val="00AA1D8D"/>
    <w:pPr>
      <w:spacing w:after="120"/>
    </w:pPr>
  </w:style>
  <w:style w:type="character" w:customStyle="1" w:styleId="ae">
    <w:name w:val="Основной текст Знак"/>
    <w:basedOn w:val="a1"/>
    <w:link w:val="ad"/>
    <w:uiPriority w:val="99"/>
    <w:rsid w:val="00AA1D8D"/>
  </w:style>
  <w:style w:type="paragraph" w:styleId="21">
    <w:name w:val="Body Text 2"/>
    <w:link w:val="22"/>
    <w:uiPriority w:val="99"/>
    <w:unhideWhenUsed/>
    <w:rsid w:val="00AA1D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AA1D8D"/>
  </w:style>
  <w:style w:type="paragraph" w:styleId="31">
    <w:name w:val="Body Text 3"/>
    <w:link w:val="32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rsid w:val="00AA1D8D"/>
    <w:rPr>
      <w:sz w:val="16"/>
      <w:szCs w:val="16"/>
    </w:rPr>
  </w:style>
  <w:style w:type="paragraph" w:styleId="af">
    <w:name w:val="List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uiPriority w:val="99"/>
    <w:unhideWhenUsed/>
    <w:rsid w:val="00326F90"/>
    <w:pPr>
      <w:numPr>
        <w:numId w:val="1"/>
      </w:numPr>
      <w:contextualSpacing/>
    </w:pPr>
  </w:style>
  <w:style w:type="paragraph" w:styleId="24">
    <w:name w:val="List Bullet 2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34">
    <w:name w:val="List Bullet 3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af0">
    <w:name w:val="List Number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5">
    <w:name w:val="List Number 2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35">
    <w:name w:val="List Number 3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af1">
    <w:name w:val="List Continue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uiPriority w:val="99"/>
    <w:unhideWhenUsed/>
    <w:rsid w:val="0029639D"/>
    <w:pPr>
      <w:spacing w:after="120"/>
      <w:ind w:left="1080"/>
      <w:contextualSpacing/>
    </w:pPr>
  </w:style>
  <w:style w:type="paragraph" w:styleId="af2">
    <w:name w:val="macro"/>
    <w:link w:val="af3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3">
    <w:name w:val="Текст макроса Знак"/>
    <w:basedOn w:val="a1"/>
    <w:link w:val="af2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1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1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4">
    <w:name w:val="captio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5">
    <w:name w:val="Strong"/>
    <w:basedOn w:val="a1"/>
    <w:uiPriority w:val="22"/>
    <w:qFormat/>
    <w:rsid w:val="00FC693F"/>
    <w:rPr>
      <w:b/>
      <w:bCs/>
    </w:rPr>
  </w:style>
  <w:style w:type="character" w:styleId="af6">
    <w:name w:val="Emphasis"/>
    <w:basedOn w:val="a1"/>
    <w:uiPriority w:val="20"/>
    <w:qFormat/>
    <w:rsid w:val="00FC693F"/>
    <w:rPr>
      <w:i/>
      <w:iCs/>
    </w:rPr>
  </w:style>
  <w:style w:type="paragraph" w:styleId="af7">
    <w:name w:val="Intense Quote"/>
    <w:link w:val="af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8">
    <w:name w:val="Выделенная цитата Знак"/>
    <w:basedOn w:val="a1"/>
    <w:link w:val="af7"/>
    <w:uiPriority w:val="30"/>
    <w:rsid w:val="00FC693F"/>
    <w:rPr>
      <w:b/>
      <w:bCs/>
      <w:i/>
      <w:iCs/>
      <w:color w:val="4F81BD" w:themeColor="accent1"/>
    </w:rPr>
  </w:style>
  <w:style w:type="character" w:styleId="af9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a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c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d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afe">
    <w:name w:val="TOC Heading"/>
    <w:uiPriority w:val="39"/>
    <w:semiHidden/>
    <w:unhideWhenUsed/>
    <w:qFormat/>
    <w:rsid w:val="00FC693F"/>
  </w:style>
  <w:style w:type="table" w:styleId="aff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0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1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2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3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4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5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6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Text"/>
    <w:pPr>
      <w:spacing w:after="0" w:line="240" w:lineRule="auto"/>
    </w:pPr>
    <w:rPr>
      <w:sz w:val="18"/>
    </w:rPr>
  </w:style>
  <w:style w:type="paragraph" w:styleId="aff7">
    <w:name w:val="Revision"/>
    <w:hidden/>
    <w:uiPriority w:val="99"/>
    <w:semiHidden/>
    <w:rsid w:val="00F61736"/>
    <w:pPr>
      <w:spacing w:after="0" w:line="240" w:lineRule="auto"/>
    </w:p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ffa">
    <w:name w:val="Subtitle"/>
    <w:basedOn w:val="a0"/>
    <w:next w:val="a0"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ffb">
    <w:basedOn w:val="a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a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</w:style>
  <w:style w:type="paragraph" w:styleId="1">
    <w:name w:val="heading 1"/>
    <w:basedOn w:val="a0"/>
    <w:next w:val="a0"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2">
    <w:name w:val="heading 2"/>
    <w:basedOn w:val="a0"/>
    <w:next w:val="a0"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3">
    <w:name w:val="heading 3"/>
    <w:basedOn w:val="a0"/>
    <w:next w:val="a0"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4">
    <w:name w:val="heading 4"/>
    <w:basedOn w:val="a0"/>
    <w:next w:val="a0"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5">
    <w:name w:val="heading 5"/>
    <w:basedOn w:val="a0"/>
    <w:next w:val="a0"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6">
    <w:name w:val="heading 6"/>
    <w:basedOn w:val="a0"/>
    <w:next w:val="a0"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7">
    <w:name w:val="heading 7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4">
    <w:name w:val="Title"/>
    <w:basedOn w:val="a0"/>
    <w:next w:val="a0"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b/>
      <w:bCs/>
      <w:color w:val="17365D"/>
      <w:sz w:val="30"/>
      <w:szCs w:val="30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5">
    <w:name w:val="header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E618BF"/>
  </w:style>
  <w:style w:type="paragraph" w:styleId="a7">
    <w:name w:val="footer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a">
    <w:name w:val="Заголовок Знак"/>
    <w:basedOn w:val="a1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Подзаголовок Знак"/>
    <w:basedOn w:val="a1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c">
    <w:name w:val="List Paragraph"/>
    <w:uiPriority w:val="34"/>
    <w:qFormat/>
    <w:rsid w:val="00FC693F"/>
    <w:pPr>
      <w:ind w:left="720"/>
      <w:contextualSpacing/>
    </w:pPr>
  </w:style>
  <w:style w:type="paragraph" w:styleId="ad">
    <w:name w:val="Body Text"/>
    <w:link w:val="ae"/>
    <w:uiPriority w:val="99"/>
    <w:unhideWhenUsed/>
    <w:rsid w:val="00AA1D8D"/>
    <w:pPr>
      <w:spacing w:after="120"/>
    </w:pPr>
  </w:style>
  <w:style w:type="character" w:customStyle="1" w:styleId="ae">
    <w:name w:val="Основной текст Знак"/>
    <w:basedOn w:val="a1"/>
    <w:link w:val="ad"/>
    <w:uiPriority w:val="99"/>
    <w:rsid w:val="00AA1D8D"/>
  </w:style>
  <w:style w:type="paragraph" w:styleId="21">
    <w:name w:val="Body Text 2"/>
    <w:link w:val="22"/>
    <w:uiPriority w:val="99"/>
    <w:unhideWhenUsed/>
    <w:rsid w:val="00AA1D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AA1D8D"/>
  </w:style>
  <w:style w:type="paragraph" w:styleId="31">
    <w:name w:val="Body Text 3"/>
    <w:link w:val="32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rsid w:val="00AA1D8D"/>
    <w:rPr>
      <w:sz w:val="16"/>
      <w:szCs w:val="16"/>
    </w:rPr>
  </w:style>
  <w:style w:type="paragraph" w:styleId="af">
    <w:name w:val="List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uiPriority w:val="99"/>
    <w:unhideWhenUsed/>
    <w:rsid w:val="00326F90"/>
    <w:pPr>
      <w:numPr>
        <w:numId w:val="1"/>
      </w:numPr>
      <w:contextualSpacing/>
    </w:pPr>
  </w:style>
  <w:style w:type="paragraph" w:styleId="24">
    <w:name w:val="List Bullet 2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34">
    <w:name w:val="List Bullet 3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af0">
    <w:name w:val="List Number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25">
    <w:name w:val="List Number 2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35">
    <w:name w:val="List Number 3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af1">
    <w:name w:val="List Continue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uiPriority w:val="99"/>
    <w:unhideWhenUsed/>
    <w:rsid w:val="0029639D"/>
    <w:pPr>
      <w:spacing w:after="120"/>
      <w:ind w:left="1080"/>
      <w:contextualSpacing/>
    </w:pPr>
  </w:style>
  <w:style w:type="paragraph" w:styleId="af2">
    <w:name w:val="macro"/>
    <w:link w:val="af3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3">
    <w:name w:val="Текст макроса Знак"/>
    <w:basedOn w:val="a1"/>
    <w:link w:val="af2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1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1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4">
    <w:name w:val="captio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5">
    <w:name w:val="Strong"/>
    <w:basedOn w:val="a1"/>
    <w:uiPriority w:val="22"/>
    <w:qFormat/>
    <w:rsid w:val="00FC693F"/>
    <w:rPr>
      <w:b/>
      <w:bCs/>
    </w:rPr>
  </w:style>
  <w:style w:type="character" w:styleId="af6">
    <w:name w:val="Emphasis"/>
    <w:basedOn w:val="a1"/>
    <w:uiPriority w:val="20"/>
    <w:qFormat/>
    <w:rsid w:val="00FC693F"/>
    <w:rPr>
      <w:i/>
      <w:iCs/>
    </w:rPr>
  </w:style>
  <w:style w:type="paragraph" w:styleId="af7">
    <w:name w:val="Intense Quote"/>
    <w:link w:val="af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8">
    <w:name w:val="Выделенная цитата Знак"/>
    <w:basedOn w:val="a1"/>
    <w:link w:val="af7"/>
    <w:uiPriority w:val="30"/>
    <w:rsid w:val="00FC693F"/>
    <w:rPr>
      <w:b/>
      <w:bCs/>
      <w:i/>
      <w:iCs/>
      <w:color w:val="4F81BD" w:themeColor="accent1"/>
    </w:rPr>
  </w:style>
  <w:style w:type="character" w:styleId="af9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a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c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d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afe">
    <w:name w:val="TOC Heading"/>
    <w:uiPriority w:val="39"/>
    <w:semiHidden/>
    <w:unhideWhenUsed/>
    <w:qFormat/>
    <w:rsid w:val="00FC693F"/>
  </w:style>
  <w:style w:type="table" w:styleId="aff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0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1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2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3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4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5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6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Text">
    <w:name w:val="TableText"/>
    <w:pPr>
      <w:spacing w:after="0" w:line="240" w:lineRule="auto"/>
    </w:pPr>
    <w:rPr>
      <w:sz w:val="18"/>
    </w:rPr>
  </w:style>
  <w:style w:type="paragraph" w:styleId="aff7">
    <w:name w:val="Revision"/>
    <w:hidden/>
    <w:uiPriority w:val="99"/>
    <w:semiHidden/>
    <w:rsid w:val="00F61736"/>
    <w:pPr>
      <w:spacing w:after="0" w:line="240" w:lineRule="auto"/>
    </w:p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ffa">
    <w:name w:val="Subtitle"/>
    <w:basedOn w:val="a0"/>
    <w:next w:val="a0"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ffb">
    <w:basedOn w:val="a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a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Aa5TTXWP+z9BRZqt02BIQXWHfQ==">CgMxLjA4AHIhMUFBWGxqREFuUmFPSjR3YWpEUDdDdjUySnk0ajdndV9f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2021</Words>
  <Characters>11521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Подготовлено для Заказчика</dc:creator>
  <cp:lastModifiedBy>Администратор</cp:lastModifiedBy>
  <cp:revision>4</cp:revision>
  <dcterms:created xsi:type="dcterms:W3CDTF">2026-10-12T11:11:00Z</dcterms:created>
  <dcterms:modified xsi:type="dcterms:W3CDTF">2026-10-23T06:34:00Z</dcterms:modified>
</cp:coreProperties>
</file>