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69533D">
      <w:pPr>
        <w:jc w:val="center"/>
        <w:rPr>
          <w:b/>
          <w:sz w:val="28"/>
          <w:szCs w:val="22"/>
        </w:rPr>
      </w:pPr>
      <w:r>
        <w:rPr>
          <w:b/>
          <w:sz w:val="28"/>
          <w:szCs w:val="22"/>
        </w:rPr>
        <w:t>ТЕХНИЧЕСКАЯ СПЕЦИФИКАЦИЯ</w:t>
      </w:r>
    </w:p>
    <w:p w14:paraId="0BBD3669">
      <w:pPr>
        <w:jc w:val="both"/>
        <w:rPr>
          <w:b/>
          <w:sz w:val="22"/>
          <w:szCs w:val="22"/>
        </w:rPr>
      </w:pPr>
    </w:p>
    <w:p w14:paraId="57AC1D4E">
      <w:pPr>
        <w:jc w:val="both"/>
        <w:rPr>
          <w:b/>
          <w:sz w:val="22"/>
          <w:szCs w:val="22"/>
        </w:rPr>
      </w:pPr>
    </w:p>
    <w:p w14:paraId="5776403A">
      <w:pPr>
        <w:pStyle w:val="8"/>
        <w:jc w:val="both"/>
        <w:rPr>
          <w:rFonts w:hint="default"/>
          <w:sz w:val="22"/>
          <w:szCs w:val="22"/>
          <w:lang w:val="ru-RU"/>
        </w:rPr>
      </w:pPr>
      <w:r>
        <w:rPr>
          <w:b/>
          <w:sz w:val="22"/>
          <w:szCs w:val="22"/>
        </w:rPr>
        <w:t>Услуги по обязательному страхованию гражданско-правовой ответственности перевозчика перед пассажирами (ОГПО ПП).</w:t>
      </w:r>
      <w:r>
        <w:rPr>
          <w:rFonts w:hint="default"/>
          <w:b/>
          <w:sz w:val="22"/>
          <w:szCs w:val="22"/>
          <w:lang w:val="ru-RU"/>
        </w:rPr>
        <w:t xml:space="preserve"> </w:t>
      </w:r>
      <w:r>
        <w:rPr>
          <w:rFonts w:hint="default"/>
          <w:b/>
          <w:sz w:val="22"/>
          <w:szCs w:val="22"/>
          <w:lang w:val="kk-KZ"/>
        </w:rPr>
        <w:t>1</w:t>
      </w:r>
      <w:r>
        <w:rPr>
          <w:rFonts w:hint="default"/>
          <w:b/>
          <w:sz w:val="22"/>
          <w:szCs w:val="22"/>
          <w:lang w:val="ru-RU"/>
        </w:rPr>
        <w:t xml:space="preserve"> единиц.</w:t>
      </w:r>
    </w:p>
    <w:p w14:paraId="62814ED4">
      <w:pPr>
        <w:pStyle w:val="8"/>
        <w:ind w:firstLine="708"/>
        <w:jc w:val="both"/>
        <w:rPr>
          <w:b/>
          <w:sz w:val="22"/>
          <w:szCs w:val="22"/>
        </w:rPr>
      </w:pPr>
    </w:p>
    <w:p w14:paraId="11328BC3">
      <w:pPr>
        <w:pStyle w:val="8"/>
        <w:jc w:val="both"/>
        <w:rPr>
          <w:sz w:val="22"/>
          <w:szCs w:val="22"/>
        </w:rPr>
      </w:pPr>
      <w:r>
        <w:rPr>
          <w:bCs/>
          <w:sz w:val="22"/>
          <w:szCs w:val="22"/>
        </w:rPr>
        <w:t>Страхование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осуществляется</w:t>
      </w:r>
      <w:r>
        <w:rPr>
          <w:sz w:val="22"/>
          <w:szCs w:val="22"/>
        </w:rPr>
        <w:t xml:space="preserve"> на </w:t>
      </w:r>
      <w:r>
        <w:rPr>
          <w:bCs/>
          <w:sz w:val="22"/>
          <w:szCs w:val="22"/>
        </w:rPr>
        <w:t>основании</w:t>
      </w:r>
      <w:r>
        <w:rPr>
          <w:sz w:val="22"/>
          <w:szCs w:val="22"/>
        </w:rPr>
        <w:t xml:space="preserve"> Закона </w:t>
      </w:r>
      <w:r>
        <w:rPr>
          <w:bCs/>
          <w:sz w:val="22"/>
          <w:szCs w:val="22"/>
        </w:rPr>
        <w:t>РК</w:t>
      </w:r>
      <w:r>
        <w:rPr>
          <w:bCs/>
          <w:sz w:val="22"/>
          <w:szCs w:val="22"/>
          <w:lang w:val="kk-KZ"/>
        </w:rPr>
        <w:t xml:space="preserve"> </w:t>
      </w:r>
      <w:r>
        <w:rPr>
          <w:sz w:val="22"/>
          <w:szCs w:val="22"/>
        </w:rPr>
        <w:t xml:space="preserve">444-II от 1 июля 2003 «Об обязательном </w:t>
      </w:r>
      <w:r>
        <w:rPr>
          <w:bCs/>
          <w:sz w:val="22"/>
          <w:szCs w:val="22"/>
        </w:rPr>
        <w:t>страховании</w:t>
      </w:r>
      <w:r>
        <w:rPr>
          <w:sz w:val="22"/>
          <w:szCs w:val="22"/>
        </w:rPr>
        <w:t xml:space="preserve"> гражданско-правовой ответственности перевозчика перед пассажирами».</w:t>
      </w:r>
    </w:p>
    <w:p w14:paraId="1510B392">
      <w:pPr>
        <w:pStyle w:val="8"/>
        <w:jc w:val="both"/>
        <w:rPr>
          <w:sz w:val="22"/>
          <w:szCs w:val="22"/>
        </w:rPr>
      </w:pPr>
    </w:p>
    <w:p w14:paraId="402AE32A">
      <w:pPr>
        <w:pStyle w:val="8"/>
        <w:ind w:firstLine="708"/>
        <w:jc w:val="both"/>
        <w:rPr>
          <w:sz w:val="28"/>
          <w:szCs w:val="28"/>
        </w:rPr>
      </w:pPr>
    </w:p>
    <w:p w14:paraId="1F897B0D">
      <w:pPr>
        <w:pStyle w:val="8"/>
        <w:ind w:firstLine="708"/>
        <w:jc w:val="both"/>
        <w:rPr>
          <w:color w:val="FF0000"/>
          <w:sz w:val="28"/>
          <w:szCs w:val="28"/>
        </w:rPr>
      </w:pPr>
      <w:r>
        <w:rPr>
          <w:rFonts w:hint="default"/>
          <w:color w:val="FF0000"/>
          <w:sz w:val="28"/>
          <w:szCs w:val="28"/>
        </w:rPr>
        <w:t>п. 6 ст. 6 Закона Республики Казахстан «О государственных закупках» «Страховые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страхования». Согласно п. 6 статьи 18 Закона Республики Казахстан от 18 декабря 2000 года № 126-II «О страховой деятельности» не допускается осуществление посреднической деятельности страховых агентов по договорам страхования, заключаемым в рамках государственных закупок в соответствии с Законом Республики Казахстан «О государственных закупках».</w:t>
      </w:r>
    </w:p>
    <w:p w14:paraId="350706D7">
      <w:pPr>
        <w:pStyle w:val="8"/>
        <w:ind w:firstLine="708"/>
        <w:jc w:val="both"/>
        <w:rPr>
          <w:sz w:val="28"/>
          <w:szCs w:val="28"/>
        </w:rPr>
      </w:pPr>
    </w:p>
    <w:p w14:paraId="1CFA803C">
      <w:pPr>
        <w:pStyle w:val="8"/>
        <w:ind w:firstLine="708"/>
        <w:jc w:val="both"/>
        <w:rPr>
          <w:sz w:val="28"/>
          <w:szCs w:val="28"/>
        </w:rPr>
      </w:pPr>
    </w:p>
    <w:p w14:paraId="6E32843C">
      <w:pPr>
        <w:pStyle w:val="8"/>
        <w:ind w:firstLine="708"/>
        <w:jc w:val="both"/>
        <w:rPr>
          <w:sz w:val="28"/>
          <w:szCs w:val="28"/>
        </w:rPr>
      </w:pPr>
    </w:p>
    <w:p w14:paraId="23B8ED96">
      <w:pPr>
        <w:pStyle w:val="8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Срок действия страхового полиса </w:t>
      </w:r>
      <w:r>
        <w:rPr>
          <w:b/>
          <w:sz w:val="28"/>
          <w:szCs w:val="28"/>
        </w:rPr>
        <w:t>12</w:t>
      </w:r>
      <w:r>
        <w:rPr>
          <w:b/>
          <w:sz w:val="28"/>
          <w:szCs w:val="28"/>
          <w:lang w:val="kk-KZ"/>
        </w:rPr>
        <w:t xml:space="preserve"> месяцев со дня получения Заказчиком</w:t>
      </w:r>
    </w:p>
    <w:p w14:paraId="1A5C6C57">
      <w:pPr>
        <w:rPr>
          <w:b/>
          <w:sz w:val="28"/>
          <w:szCs w:val="28"/>
          <w:lang w:val="kk-KZ"/>
        </w:rPr>
      </w:pPr>
    </w:p>
    <w:p w14:paraId="7B750B8D">
      <w:pPr>
        <w:pStyle w:val="8"/>
        <w:ind w:firstLine="3082" w:firstLineChars="11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ТЕХНИКАЛЫҚ ЕРЕКШЕЛІГІ</w:t>
      </w:r>
    </w:p>
    <w:p w14:paraId="2A4D72A1">
      <w:pPr>
        <w:pStyle w:val="8"/>
        <w:jc w:val="center"/>
        <w:rPr>
          <w:b/>
          <w:sz w:val="28"/>
          <w:szCs w:val="28"/>
        </w:rPr>
      </w:pPr>
    </w:p>
    <w:p w14:paraId="6A0EC3E1">
      <w:pPr>
        <w:pStyle w:val="8"/>
        <w:jc w:val="center"/>
        <w:rPr>
          <w:b/>
          <w:sz w:val="28"/>
          <w:szCs w:val="28"/>
        </w:rPr>
      </w:pPr>
    </w:p>
    <w:p w14:paraId="3CCB0001">
      <w:pPr>
        <w:pStyle w:val="8"/>
        <w:jc w:val="center"/>
        <w:rPr>
          <w:b/>
          <w:sz w:val="28"/>
          <w:szCs w:val="28"/>
        </w:rPr>
      </w:pPr>
    </w:p>
    <w:p w14:paraId="6D615C29">
      <w:pPr>
        <w:pStyle w:val="8"/>
        <w:jc w:val="center"/>
        <w:rPr>
          <w:b/>
          <w:sz w:val="22"/>
          <w:szCs w:val="28"/>
        </w:rPr>
      </w:pPr>
    </w:p>
    <w:p w14:paraId="5DF34B6B">
      <w:pPr>
        <w:pStyle w:val="8"/>
        <w:rPr>
          <w:rFonts w:hint="default"/>
          <w:b/>
          <w:sz w:val="22"/>
          <w:szCs w:val="28"/>
          <w:lang w:val="ru-RU"/>
        </w:rPr>
      </w:pPr>
      <w:r>
        <w:rPr>
          <w:b/>
          <w:sz w:val="22"/>
          <w:szCs w:val="28"/>
        </w:rPr>
        <w:t xml:space="preserve">Тасымалдаушының жолаушылар алдындағы азаматтық-құқықтық жауапкершілігін міндетті сақтандыру бойынша қызметтер. </w:t>
      </w:r>
      <w:r>
        <w:rPr>
          <w:rFonts w:hint="default"/>
          <w:b/>
          <w:sz w:val="22"/>
          <w:szCs w:val="28"/>
          <w:lang w:val="kk-KZ"/>
        </w:rPr>
        <w:t>1</w:t>
      </w:r>
      <w:r>
        <w:rPr>
          <w:rFonts w:hint="default"/>
          <w:b/>
          <w:sz w:val="22"/>
          <w:szCs w:val="28"/>
          <w:lang w:val="ru-RU"/>
        </w:rPr>
        <w:t xml:space="preserve"> дана.</w:t>
      </w:r>
    </w:p>
    <w:p w14:paraId="2E4F83F0">
      <w:pPr>
        <w:pStyle w:val="8"/>
        <w:rPr>
          <w:rFonts w:hint="default"/>
          <w:b/>
          <w:sz w:val="22"/>
          <w:szCs w:val="28"/>
          <w:lang w:val="ru-RU"/>
        </w:rPr>
      </w:pPr>
    </w:p>
    <w:p w14:paraId="2C082FAE">
      <w:pPr>
        <w:pStyle w:val="8"/>
        <w:rPr>
          <w:rFonts w:hint="default"/>
          <w:b/>
          <w:sz w:val="22"/>
          <w:szCs w:val="28"/>
          <w:lang w:val="ru-RU"/>
        </w:rPr>
      </w:pPr>
    </w:p>
    <w:p w14:paraId="44A948FA">
      <w:pPr>
        <w:pStyle w:val="8"/>
        <w:rPr>
          <w:rFonts w:hint="default"/>
          <w:b/>
          <w:sz w:val="22"/>
          <w:szCs w:val="28"/>
          <w:lang w:val="ru-RU"/>
        </w:rPr>
      </w:pPr>
    </w:p>
    <w:p w14:paraId="27165934">
      <w:pPr>
        <w:pStyle w:val="8"/>
        <w:jc w:val="both"/>
        <w:rPr>
          <w:b/>
          <w:sz w:val="22"/>
          <w:szCs w:val="28"/>
        </w:rPr>
      </w:pPr>
    </w:p>
    <w:p w14:paraId="6FFF0836">
      <w:pPr>
        <w:pStyle w:val="8"/>
        <w:jc w:val="both"/>
        <w:rPr>
          <w:sz w:val="22"/>
          <w:szCs w:val="28"/>
        </w:rPr>
      </w:pPr>
      <w:r>
        <w:rPr>
          <w:sz w:val="22"/>
          <w:szCs w:val="28"/>
        </w:rPr>
        <w:t>Сақтандыру Қазақстан Республикасының 2003 жылғы 1 шілдедегі «Тасымалдаушының жолаушылар алдындағы азаматтық-құқықтық жауапкершілігін міндетті сақтандыру туралы» 444-II Заңының негізінде жүзеге асырылады.</w:t>
      </w:r>
    </w:p>
    <w:p w14:paraId="3BE85F66">
      <w:pPr>
        <w:pStyle w:val="8"/>
        <w:jc w:val="center"/>
        <w:rPr>
          <w:b/>
          <w:sz w:val="28"/>
          <w:szCs w:val="28"/>
        </w:rPr>
      </w:pPr>
    </w:p>
    <w:p w14:paraId="0FE48A3B">
      <w:pPr>
        <w:pStyle w:val="8"/>
        <w:jc w:val="center"/>
        <w:rPr>
          <w:rFonts w:hint="default"/>
          <w:b/>
          <w:color w:val="FF0000"/>
          <w:sz w:val="28"/>
          <w:szCs w:val="28"/>
        </w:rPr>
      </w:pPr>
      <w:r>
        <w:rPr>
          <w:rFonts w:hint="default"/>
          <w:b/>
          <w:color w:val="FF0000"/>
          <w:sz w:val="28"/>
          <w:szCs w:val="28"/>
        </w:rPr>
        <w:t>п. 6 ст. 6 Закона Республики Казахстан «О государственных закупках» «Страховые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страхования». Согласно п. 6 статьи 18 Закона Республики Казахстан от 18 декабря 2000 года № 126-II «О страховой деятельности» не допускается осуществление посреднической деятельности страховых агентов по договорам страхования, заключаемым в рамках государственных закупок в соответствии с Законом Республики Казахстан «О государственных закупках».</w:t>
      </w:r>
    </w:p>
    <w:p w14:paraId="0AAA6073">
      <w:pPr>
        <w:pStyle w:val="8"/>
        <w:jc w:val="center"/>
        <w:rPr>
          <w:rFonts w:hint="default"/>
          <w:b/>
          <w:color w:val="FF0000"/>
          <w:sz w:val="28"/>
          <w:szCs w:val="28"/>
        </w:rPr>
      </w:pPr>
    </w:p>
    <w:p w14:paraId="068937C2">
      <w:pPr>
        <w:pStyle w:val="8"/>
        <w:jc w:val="center"/>
        <w:rPr>
          <w:rFonts w:hint="default"/>
          <w:b/>
          <w:color w:val="FF0000"/>
          <w:sz w:val="28"/>
          <w:szCs w:val="28"/>
        </w:rPr>
      </w:pPr>
    </w:p>
    <w:p w14:paraId="4B98265D">
      <w:pPr>
        <w:pStyle w:val="8"/>
        <w:jc w:val="center"/>
        <w:rPr>
          <w:rFonts w:hint="default"/>
          <w:b/>
          <w:color w:val="FF0000"/>
          <w:sz w:val="28"/>
          <w:szCs w:val="28"/>
        </w:rPr>
      </w:pPr>
    </w:p>
    <w:p w14:paraId="7EB488BF">
      <w:pPr>
        <w:pStyle w:val="8"/>
        <w:jc w:val="center"/>
        <w:rPr>
          <w:rFonts w:hint="default"/>
          <w:b/>
          <w:color w:val="FF0000"/>
          <w:sz w:val="28"/>
          <w:szCs w:val="28"/>
        </w:rPr>
      </w:pPr>
    </w:p>
    <w:p w14:paraId="07C3AF6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Техническая спецификация</w:t>
      </w:r>
    </w:p>
    <w:p w14:paraId="14B828E2">
      <w:pPr>
        <w:rPr>
          <w:b/>
          <w:sz w:val="28"/>
          <w:szCs w:val="28"/>
        </w:rPr>
      </w:pPr>
    </w:p>
    <w:tbl>
      <w:tblPr>
        <w:tblStyle w:val="3"/>
        <w:tblW w:w="0" w:type="auto"/>
        <w:tblCellSpacing w:w="15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"/>
        <w:gridCol w:w="81"/>
      </w:tblGrid>
      <w:tr w14:paraId="40AF5F1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6738A718"/>
        </w:tc>
        <w:tc>
          <w:tcPr>
            <w:tcW w:w="0" w:type="auto"/>
            <w:vAlign w:val="center"/>
          </w:tcPr>
          <w:p w14:paraId="007C2E97"/>
        </w:tc>
      </w:tr>
    </w:tbl>
    <w:p w14:paraId="26738D1C">
      <w:pPr>
        <w:tabs>
          <w:tab w:val="left" w:pos="900"/>
          <w:tab w:val="left" w:pos="5205"/>
        </w:tabs>
      </w:pPr>
      <w:r>
        <w:rPr>
          <w:b/>
          <w:sz w:val="28"/>
          <w:szCs w:val="28"/>
        </w:rPr>
        <w:t xml:space="preserve">Наименование лота:             </w:t>
      </w:r>
      <w:r>
        <w:t>Услуги прочие, связанные со страхованием автотранспорта</w:t>
      </w:r>
    </w:p>
    <w:p w14:paraId="51201F9E">
      <w:pPr>
        <w:tabs>
          <w:tab w:val="left" w:pos="5205"/>
        </w:tabs>
      </w:pPr>
      <w:r>
        <w:rPr>
          <w:b/>
        </w:rPr>
        <w:t>Краткая характеристика</w:t>
      </w:r>
      <w:r>
        <w:rPr>
          <w:b/>
          <w:sz w:val="28"/>
          <w:szCs w:val="28"/>
        </w:rPr>
        <w:t xml:space="preserve">: </w:t>
      </w:r>
      <w:r>
        <w:t>Услуги прочие, связанные со страхованием автотранспорта</w:t>
      </w:r>
    </w:p>
    <w:tbl>
      <w:tblPr>
        <w:tblStyle w:val="3"/>
        <w:tblW w:w="10335" w:type="dxa"/>
        <w:tblInd w:w="-901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2"/>
        <w:gridCol w:w="2292"/>
        <w:gridCol w:w="1378"/>
        <w:gridCol w:w="1499"/>
        <w:gridCol w:w="2088"/>
        <w:gridCol w:w="976"/>
        <w:gridCol w:w="1590"/>
      </w:tblGrid>
      <w:tr w14:paraId="519C6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4C1031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№</w:t>
            </w:r>
          </w:p>
        </w:tc>
        <w:tc>
          <w:tcPr>
            <w:tcW w:w="22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729E03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Наименование услуги 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BB591E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Ед. измерения </w:t>
            </w:r>
          </w:p>
        </w:tc>
        <w:tc>
          <w:tcPr>
            <w:tcW w:w="14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A74576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Количество</w:t>
            </w:r>
          </w:p>
        </w:tc>
        <w:tc>
          <w:tcPr>
            <w:tcW w:w="2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503E8E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Наименование </w:t>
            </w:r>
          </w:p>
          <w:p w14:paraId="29CD0932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авто, гос-номер</w:t>
            </w:r>
          </w:p>
        </w:tc>
        <w:tc>
          <w:tcPr>
            <w:tcW w:w="8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E203FB2">
            <w:pPr>
              <w:spacing w:line="25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Общая</w:t>
            </w:r>
          </w:p>
          <w:p w14:paraId="28390B23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сумма</w:t>
            </w:r>
          </w:p>
        </w:tc>
        <w:tc>
          <w:tcPr>
            <w:tcW w:w="16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BD05BA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Период страхования  </w:t>
            </w:r>
          </w:p>
        </w:tc>
      </w:tr>
      <w:tr w14:paraId="09584E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4" w:hRule="atLeast"/>
        </w:trPr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4C3A48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29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tbl>
            <w:tblPr>
              <w:tblStyle w:val="3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076"/>
            </w:tblGrid>
            <w:tr w14:paraId="380DF48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89" w:hRule="atLeast"/>
              </w:trPr>
              <w:tc>
                <w:tcPr>
                  <w:tcW w:w="0" w:type="auto"/>
                </w:tcPr>
                <w:p w14:paraId="1AEB0F45">
                  <w:r>
                    <w:rPr>
                      <w:lang w:val="kk-KZ"/>
                    </w:rPr>
                    <w:t>Обязательное</w:t>
                  </w:r>
                  <w:r>
                    <w:rPr>
                      <w:rFonts w:hint="default"/>
                      <w:lang w:val="kk-KZ"/>
                    </w:rPr>
                    <w:t xml:space="preserve"> </w:t>
                  </w:r>
                  <w:r>
                    <w:t>страхование гражданско-правовой ответственности автоперевозчика перед пассажирами.  Страховая сумма 4</w:t>
                  </w:r>
                  <w:r>
                    <w:rPr>
                      <w:lang w:val="kk-KZ"/>
                    </w:rPr>
                    <w:t xml:space="preserve"> 0</w:t>
                  </w:r>
                  <w:r>
                    <w:t>00 000 тг, Франшиза не применяется</w:t>
                  </w:r>
                  <w:r>
                    <w:rPr>
                      <w:lang w:val="kk-KZ"/>
                    </w:rPr>
                    <w:t>.</w:t>
                  </w:r>
                </w:p>
              </w:tc>
            </w:tr>
          </w:tbl>
          <w:p w14:paraId="1B0D7E7E"/>
          <w:p w14:paraId="4C5B294A">
            <w:r>
              <w:t xml:space="preserve"> </w:t>
            </w:r>
          </w:p>
          <w:p w14:paraId="787037F1">
            <w:pPr>
              <w:spacing w:line="256" w:lineRule="auto"/>
              <w:jc w:val="center"/>
              <w:rPr>
                <w:lang w:eastAsia="en-US"/>
              </w:rPr>
            </w:pPr>
          </w:p>
          <w:p w14:paraId="56498B2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</w:tcPr>
          <w:p w14:paraId="3E7FABEF">
            <w:pPr>
              <w:spacing w:line="256" w:lineRule="auto"/>
              <w:jc w:val="center"/>
              <w:rPr>
                <w:lang w:eastAsia="en-US"/>
              </w:rPr>
            </w:pPr>
          </w:p>
          <w:p w14:paraId="1B36BE0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Услуга </w:t>
            </w:r>
          </w:p>
        </w:tc>
        <w:tc>
          <w:tcPr>
            <w:tcW w:w="14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</w:tcPr>
          <w:p w14:paraId="443653DC">
            <w:pPr>
              <w:spacing w:line="256" w:lineRule="auto"/>
              <w:jc w:val="center"/>
              <w:rPr>
                <w:lang w:eastAsia="en-US"/>
              </w:rPr>
            </w:pPr>
          </w:p>
          <w:p w14:paraId="0D7DD78E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E424AC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Газ 322132-14, г/в 2003. Автобус до 16 мест</w:t>
            </w:r>
          </w:p>
          <w:p w14:paraId="0C7E691A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Место регистрации: Карагандинская область.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616372">
            <w:pPr>
              <w:spacing w:line="256" w:lineRule="auto"/>
              <w:jc w:val="center"/>
              <w:rPr>
                <w:rFonts w:hint="default"/>
                <w:lang w:val="kk-KZ" w:eastAsia="en-US"/>
              </w:rPr>
            </w:pPr>
            <w:r>
              <w:rPr>
                <w:rFonts w:hint="default"/>
                <w:lang w:val="kk-KZ" w:eastAsia="en-US"/>
              </w:rPr>
              <w:t>50000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B242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 срок 12 месяцев, с момента подписания договора    </w:t>
            </w:r>
          </w:p>
        </w:tc>
      </w:tr>
      <w:tr w14:paraId="120E7E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2A30C0F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516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7338D1D5">
            <w:pPr>
              <w:spacing w:line="25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2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7973511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A6245B">
            <w:pPr>
              <w:spacing w:line="256" w:lineRule="auto"/>
              <w:jc w:val="center"/>
              <w:rPr>
                <w:rFonts w:hint="default"/>
                <w:b/>
                <w:lang w:val="en-US" w:eastAsia="en-US"/>
              </w:rPr>
            </w:pPr>
            <w:r>
              <w:rPr>
                <w:rFonts w:hint="default"/>
                <w:b/>
                <w:lang w:val="en-US" w:eastAsia="en-US"/>
              </w:rPr>
              <w:t>50000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BB866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</w:tbl>
    <w:p w14:paraId="3A451C66">
      <w:pPr>
        <w:tabs>
          <w:tab w:val="left" w:pos="5205"/>
        </w:tabs>
        <w:rPr>
          <w:b/>
          <w:sz w:val="28"/>
          <w:szCs w:val="28"/>
        </w:rPr>
      </w:pPr>
    </w:p>
    <w:p w14:paraId="422FF5D8">
      <w:pPr>
        <w:tabs>
          <w:tab w:val="left" w:pos="5205"/>
        </w:tabs>
      </w:pPr>
      <w:r>
        <w:rPr>
          <w:b/>
        </w:rPr>
        <w:t>Информация об объекте страхования:</w:t>
      </w:r>
    </w:p>
    <w:p w14:paraId="79A5B4A4">
      <w:r>
        <w:rPr>
          <w:b/>
        </w:rPr>
        <w:t xml:space="preserve">Единица измерения: </w:t>
      </w:r>
      <w:r>
        <w:t xml:space="preserve">Одна услуга                                               </w:t>
      </w:r>
    </w:p>
    <w:p w14:paraId="14690F0F">
      <w:pPr>
        <w:rPr>
          <w:rFonts w:hint="default"/>
          <w:lang w:val="kk-KZ"/>
        </w:rPr>
      </w:pPr>
      <w:r>
        <w:rPr>
          <w:b/>
        </w:rPr>
        <w:t xml:space="preserve">Сумма по предмету договора:  </w:t>
      </w:r>
      <w:r>
        <w:rPr>
          <w:rFonts w:hint="default"/>
          <w:b/>
          <w:lang w:val="kk-KZ"/>
        </w:rPr>
        <w:t>50000</w:t>
      </w:r>
      <w:bookmarkStart w:id="0" w:name="_GoBack"/>
      <w:bookmarkEnd w:id="0"/>
    </w:p>
    <w:p w14:paraId="57BF81F2">
      <w:pPr>
        <w:rPr>
          <w:b/>
        </w:rPr>
      </w:pPr>
      <w:r>
        <w:rPr>
          <w:b/>
        </w:rPr>
        <w:t>Место поставки: Карагандинская область</w:t>
      </w:r>
    </w:p>
    <w:p w14:paraId="75564302">
      <w:r>
        <w:rPr>
          <w:b/>
        </w:rPr>
        <w:t xml:space="preserve">Период страхования: </w:t>
      </w:r>
      <w:r>
        <w:t>На срок 12 месяцев, с даты подписания договора.</w:t>
      </w:r>
    </w:p>
    <w:p w14:paraId="0AB3FD07"/>
    <w:p w14:paraId="0BA31142"/>
    <w:p w14:paraId="223686A9"/>
    <w:p w14:paraId="6ADC6CDE">
      <w:r>
        <w:t>Менеджер                     ______________________                              __________________</w:t>
      </w:r>
    </w:p>
    <w:p w14:paraId="4821EC37">
      <w:r>
        <w:t xml:space="preserve">                                                         (подпись)      </w:t>
      </w:r>
    </w:p>
    <w:p w14:paraId="444DF7DC"/>
    <w:p w14:paraId="57B1FEEF">
      <w:pPr>
        <w:pStyle w:val="8"/>
        <w:jc w:val="center"/>
        <w:rPr>
          <w:rFonts w:hint="default"/>
          <w:b/>
          <w:color w:val="FF0000"/>
          <w:sz w:val="28"/>
          <w:szCs w:val="28"/>
          <w:lang w:val="kk-KZ"/>
        </w:rPr>
      </w:pPr>
    </w:p>
    <w:sectPr>
      <w:pgSz w:w="11906" w:h="16838"/>
      <w:pgMar w:top="567" w:right="850" w:bottom="1134" w:left="1134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92"/>
    <w:rsid w:val="00035122"/>
    <w:rsid w:val="0004595F"/>
    <w:rsid w:val="00050A99"/>
    <w:rsid w:val="000530AF"/>
    <w:rsid w:val="000534DE"/>
    <w:rsid w:val="000B2305"/>
    <w:rsid w:val="000C6125"/>
    <w:rsid w:val="001040C5"/>
    <w:rsid w:val="00107CA4"/>
    <w:rsid w:val="0014230A"/>
    <w:rsid w:val="001855D7"/>
    <w:rsid w:val="00217575"/>
    <w:rsid w:val="0022406A"/>
    <w:rsid w:val="00225623"/>
    <w:rsid w:val="00274715"/>
    <w:rsid w:val="0028177F"/>
    <w:rsid w:val="00296A8F"/>
    <w:rsid w:val="002B5701"/>
    <w:rsid w:val="002D0AD3"/>
    <w:rsid w:val="003104E1"/>
    <w:rsid w:val="00335E68"/>
    <w:rsid w:val="00346F38"/>
    <w:rsid w:val="003D2242"/>
    <w:rsid w:val="003D6E63"/>
    <w:rsid w:val="003E6411"/>
    <w:rsid w:val="004472A2"/>
    <w:rsid w:val="004643C6"/>
    <w:rsid w:val="004E0CB2"/>
    <w:rsid w:val="00515F68"/>
    <w:rsid w:val="0053610A"/>
    <w:rsid w:val="00572D83"/>
    <w:rsid w:val="005A507B"/>
    <w:rsid w:val="005B2B02"/>
    <w:rsid w:val="005B6378"/>
    <w:rsid w:val="005E590F"/>
    <w:rsid w:val="00664075"/>
    <w:rsid w:val="006A79DE"/>
    <w:rsid w:val="006F3C92"/>
    <w:rsid w:val="00700FA4"/>
    <w:rsid w:val="0070658A"/>
    <w:rsid w:val="00734B78"/>
    <w:rsid w:val="00771E80"/>
    <w:rsid w:val="007A2A4E"/>
    <w:rsid w:val="007D35A3"/>
    <w:rsid w:val="00803179"/>
    <w:rsid w:val="00827C81"/>
    <w:rsid w:val="008835C1"/>
    <w:rsid w:val="00893F62"/>
    <w:rsid w:val="00915421"/>
    <w:rsid w:val="00936935"/>
    <w:rsid w:val="00975236"/>
    <w:rsid w:val="00990C53"/>
    <w:rsid w:val="009B32AD"/>
    <w:rsid w:val="00A00154"/>
    <w:rsid w:val="00AB3416"/>
    <w:rsid w:val="00AD70DD"/>
    <w:rsid w:val="00B10C20"/>
    <w:rsid w:val="00B20D98"/>
    <w:rsid w:val="00B41B1E"/>
    <w:rsid w:val="00B4304C"/>
    <w:rsid w:val="00B5228B"/>
    <w:rsid w:val="00B6712D"/>
    <w:rsid w:val="00B74458"/>
    <w:rsid w:val="00B9108C"/>
    <w:rsid w:val="00BE5774"/>
    <w:rsid w:val="00BE65E0"/>
    <w:rsid w:val="00C14B49"/>
    <w:rsid w:val="00C37461"/>
    <w:rsid w:val="00C56CF0"/>
    <w:rsid w:val="00C572A2"/>
    <w:rsid w:val="00C834CE"/>
    <w:rsid w:val="00D022DF"/>
    <w:rsid w:val="00D42B5A"/>
    <w:rsid w:val="00D43B42"/>
    <w:rsid w:val="00D50824"/>
    <w:rsid w:val="00D54E35"/>
    <w:rsid w:val="00D670F8"/>
    <w:rsid w:val="00D7595D"/>
    <w:rsid w:val="00D768B9"/>
    <w:rsid w:val="00D94959"/>
    <w:rsid w:val="00DD2F03"/>
    <w:rsid w:val="00E1573E"/>
    <w:rsid w:val="00EC6132"/>
    <w:rsid w:val="00ED7D0B"/>
    <w:rsid w:val="00EE19AB"/>
    <w:rsid w:val="00F21D47"/>
    <w:rsid w:val="00F80CF9"/>
    <w:rsid w:val="00F8272C"/>
    <w:rsid w:val="00F862A9"/>
    <w:rsid w:val="00F9374A"/>
    <w:rsid w:val="02993BEE"/>
    <w:rsid w:val="07716093"/>
    <w:rsid w:val="0A432CD8"/>
    <w:rsid w:val="0EED214D"/>
    <w:rsid w:val="13A53753"/>
    <w:rsid w:val="14CE2C6A"/>
    <w:rsid w:val="1E1F02AC"/>
    <w:rsid w:val="1F08420F"/>
    <w:rsid w:val="20181E85"/>
    <w:rsid w:val="29364B0A"/>
    <w:rsid w:val="2A1D11D2"/>
    <w:rsid w:val="3459714C"/>
    <w:rsid w:val="36F23F71"/>
    <w:rsid w:val="40083A32"/>
    <w:rsid w:val="437E2E18"/>
    <w:rsid w:val="454A6C4E"/>
    <w:rsid w:val="4D8E38FA"/>
    <w:rsid w:val="4E0B37BB"/>
    <w:rsid w:val="61320678"/>
    <w:rsid w:val="62692C0A"/>
    <w:rsid w:val="6D1F4F64"/>
    <w:rsid w:val="733D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  <w:style w:type="paragraph" w:styleId="5">
    <w:name w:val="Body Text Indent"/>
    <w:basedOn w:val="1"/>
    <w:link w:val="7"/>
    <w:qFormat/>
    <w:uiPriority w:val="0"/>
    <w:pPr>
      <w:ind w:firstLine="851"/>
    </w:pPr>
    <w:rPr>
      <w:sz w:val="28"/>
      <w:szCs w:val="20"/>
    </w:rPr>
  </w:style>
  <w:style w:type="table" w:styleId="6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Основной текст с отступом Знак"/>
    <w:link w:val="5"/>
    <w:qFormat/>
    <w:uiPriority w:val="0"/>
    <w:rPr>
      <w:sz w:val="28"/>
      <w:lang w:val="ru-RU" w:eastAsia="ru-RU" w:bidi="ar-SA"/>
    </w:rPr>
  </w:style>
  <w:style w:type="paragraph" w:customStyle="1" w:styleId="8">
    <w:name w:val="Без интервала1"/>
    <w:qFormat/>
    <w:uiPriority w:val="0"/>
    <w:pPr>
      <w:suppressAutoHyphens/>
      <w:spacing w:line="100" w:lineRule="atLeast"/>
    </w:pPr>
    <w:rPr>
      <w:rFonts w:ascii="Times New Roman" w:hAnsi="Times New Roman" w:eastAsia="Times New Roman" w:cs="Times New Roman"/>
      <w:kern w:val="1"/>
      <w:sz w:val="24"/>
      <w:szCs w:val="24"/>
      <w:lang w:val="ru-RU" w:eastAsia="ar-SA" w:bidi="ar-SA"/>
    </w:rPr>
  </w:style>
  <w:style w:type="paragraph" w:customStyle="1" w:styleId="9">
    <w:name w:val="Знак Знак Знак1 Знак Знак Знак Знак Знак Знак Знак Знак Знак Знак Знак Знак Знак Знак Знак Знак"/>
    <w:basedOn w:val="1"/>
    <w:autoRedefine/>
    <w:qFormat/>
    <w:uiPriority w:val="0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0">
    <w:name w:val="Table Paragraph"/>
    <w:basedOn w:val="1"/>
    <w:qFormat/>
    <w:uiPriority w:val="1"/>
    <w:pPr>
      <w:widowControl w:val="0"/>
      <w:autoSpaceDE w:val="0"/>
      <w:autoSpaceDN w:val="0"/>
      <w:spacing w:before="47"/>
      <w:ind w:left="100"/>
    </w:pPr>
    <w:rPr>
      <w:rFonts w:ascii="Arial" w:hAnsi="Arial" w:eastAsia="Arial" w:cs="Arial"/>
      <w:sz w:val="22"/>
      <w:szCs w:val="22"/>
      <w:lang w:val="kk-KZ" w:eastAsia="en-US"/>
    </w:rPr>
  </w:style>
  <w:style w:type="paragraph" w:customStyle="1" w:styleId="11">
    <w:name w:val="Содержимое таблицы"/>
    <w:basedOn w:val="1"/>
    <w:qFormat/>
    <w:uiPriority w:val="0"/>
    <w:pPr>
      <w:suppressLineNumbers/>
      <w:suppressAutoHyphens/>
      <w:spacing w:after="200" w:line="276" w:lineRule="auto"/>
    </w:pPr>
    <w:rPr>
      <w:rFonts w:ascii="Calibri" w:hAnsi="Calibri" w:eastAsia="Calibri" w:cs="Calibri"/>
      <w:sz w:val="22"/>
      <w:szCs w:val="22"/>
      <w:lang w:eastAsia="ar-SA"/>
    </w:rPr>
  </w:style>
  <w:style w:type="paragraph" w:styleId="12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2</Pages>
  <Words>323</Words>
  <Characters>2406</Characters>
  <Lines>12</Lines>
  <Paragraphs>3</Paragraphs>
  <TotalTime>3</TotalTime>
  <ScaleCrop>false</ScaleCrop>
  <LinksUpToDate>false</LinksUpToDate>
  <CharactersWithSpaces>2875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2024-02-21T05:42:00Z</dcterms:created>
  <dc:creator>Пользователь</dc:creator>
  <cp:lastModifiedBy>User</cp:lastModifiedBy>
  <cp:lastPrinted>2022-10-20T08:51:00Z</cp:lastPrinted>
  <dcterms:modified xsi:type="dcterms:W3CDTF">2026-10-19T04:04:42Z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D611D36D6A884A48BA1A1F7762B8F644_13</vt:lpwstr>
  </property>
  <property fmtid="{D5CDD505-2E9C-101B-9397-08002B2CF9AE}" pid="4" name="KSOTemplateDocerSaveRecord">
    <vt:lpwstr>eyJoZGlkIjoiNDAwMDJlZjY5NTUyMmExNTdmZTlkYTg3Y2NjMGJmMDkifQ==</vt:lpwstr>
  </property>
</Properties>
</file>