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8A9A0">
      <w:pPr>
        <w:spacing w:after="0" w:line="240" w:lineRule="auto"/>
        <w:ind w:firstLine="567"/>
        <w:jc w:val="center"/>
        <w:rPr>
          <w:rFonts w:ascii="Times New Roman" w:hAnsi="Times New Roman" w:eastAsia="Times New Roman" w:cs="Times New Roman"/>
          <w:b/>
          <w:bCs/>
          <w:color w:val="000000"/>
          <w:sz w:val="20"/>
          <w:szCs w:val="20"/>
          <w:lang w:val="ru-RU"/>
        </w:rPr>
      </w:pPr>
      <w:bookmarkStart w:id="0" w:name="_GoBack"/>
      <w:bookmarkEnd w:id="0"/>
      <w:r>
        <w:rPr>
          <w:rFonts w:ascii="Times New Roman" w:hAnsi="Times New Roman" w:eastAsia="Times New Roman" w:cs="Times New Roman"/>
          <w:b/>
          <w:bCs/>
          <w:color w:val="000000"/>
          <w:sz w:val="20"/>
          <w:szCs w:val="20"/>
        </w:rPr>
        <w:t>ТЕХНИЧЕСКАЯ</w:t>
      </w:r>
      <w:r>
        <w:rPr>
          <w:rFonts w:ascii="Times New Roman" w:hAnsi="Times New Roman" w:eastAsia="Times New Roman" w:cs="Times New Roman"/>
          <w:b/>
          <w:bCs/>
          <w:color w:val="000000"/>
          <w:sz w:val="20"/>
          <w:szCs w:val="20"/>
          <w:lang w:val="ru-RU"/>
        </w:rPr>
        <w:t xml:space="preserve"> </w:t>
      </w:r>
      <w:r>
        <w:rPr>
          <w:rFonts w:ascii="Times New Roman" w:hAnsi="Times New Roman" w:eastAsia="Times New Roman" w:cs="Times New Roman"/>
          <w:b/>
          <w:bCs/>
          <w:color w:val="000000"/>
          <w:sz w:val="20"/>
          <w:szCs w:val="20"/>
        </w:rPr>
        <w:t>СПЕЦИФИКАЦИЯ</w:t>
      </w:r>
    </w:p>
    <w:p w14:paraId="20C000E8">
      <w:pPr>
        <w:spacing w:after="0" w:line="240" w:lineRule="auto"/>
        <w:ind w:firstLine="567"/>
        <w:jc w:val="both"/>
        <w:rPr>
          <w:rFonts w:ascii="Times New Roman" w:hAnsi="Times New Roman" w:eastAsia="Times New Roman" w:cs="Times New Roman"/>
          <w:b/>
          <w:bCs/>
          <w:color w:val="000000"/>
          <w:sz w:val="20"/>
          <w:szCs w:val="20"/>
          <w:lang w:val="ru-RU"/>
        </w:rPr>
      </w:pPr>
      <w:r>
        <w:rPr>
          <w:rFonts w:ascii="Times New Roman" w:hAnsi="Times New Roman" w:eastAsia="Times New Roman" w:cs="Times New Roman"/>
          <w:b/>
          <w:bCs/>
          <w:color w:val="000000"/>
          <w:sz w:val="20"/>
          <w:szCs w:val="20"/>
          <w:lang w:val="ru-RU"/>
        </w:rPr>
        <w:t>На у</w:t>
      </w:r>
      <w:r>
        <w:rPr>
          <w:rFonts w:ascii="Times New Roman" w:hAnsi="Times New Roman" w:eastAsia="Times New Roman" w:cs="Times New Roman"/>
          <w:b/>
          <w:bCs/>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14:paraId="43552A51">
      <w:pPr>
        <w:spacing w:after="0" w:line="240" w:lineRule="auto"/>
        <w:ind w:firstLine="567"/>
        <w:jc w:val="both"/>
        <w:rPr>
          <w:rFonts w:ascii="Times New Roman" w:hAnsi="Times New Roman" w:eastAsia="Times New Roman" w:cs="Times New Roman"/>
          <w:b/>
          <w:bCs/>
          <w:color w:val="000000"/>
          <w:sz w:val="20"/>
          <w:szCs w:val="20"/>
          <w:lang w:val="ru-RU"/>
        </w:rPr>
      </w:pPr>
    </w:p>
    <w:tbl>
      <w:tblPr>
        <w:tblStyle w:val="9"/>
        <w:tblW w:w="93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00"/>
        <w:gridCol w:w="7260"/>
      </w:tblGrid>
      <w:tr w14:paraId="1FE0D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10A08370">
            <w:pPr>
              <w:spacing w:after="0" w:line="240" w:lineRule="auto"/>
              <w:ind w:firstLine="22"/>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Наименование услуги</w:t>
            </w:r>
          </w:p>
        </w:tc>
        <w:tc>
          <w:tcPr>
            <w:tcW w:w="7260" w:type="dxa"/>
            <w:tcMar>
              <w:top w:w="80" w:type="dxa"/>
              <w:left w:w="120" w:type="dxa"/>
              <w:bottom w:w="80" w:type="dxa"/>
              <w:right w:w="120" w:type="dxa"/>
            </w:tcMar>
            <w:vAlign w:val="center"/>
          </w:tcPr>
          <w:p w14:paraId="78DF0C1E">
            <w:pPr>
              <w:spacing w:after="0" w:line="240" w:lineRule="auto"/>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lang w:val="ru-RU"/>
              </w:rPr>
              <w:t>У</w:t>
            </w:r>
            <w:r>
              <w:rPr>
                <w:rFonts w:ascii="Times New Roman" w:hAnsi="Times New Roman" w:eastAsia="Times New Roman" w:cs="Times New Roman"/>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r>
              <w:rPr>
                <w:rFonts w:ascii="Times New Roman" w:hAnsi="Times New Roman" w:eastAsia="Times New Roman" w:cs="Times New Roman"/>
                <w:color w:val="000000"/>
                <w:sz w:val="20"/>
                <w:szCs w:val="20"/>
                <w:lang w:val="ru-RU"/>
              </w:rPr>
              <w:t>. (Далее по тексту – Мобильный комплекс)</w:t>
            </w:r>
          </w:p>
        </w:tc>
      </w:tr>
      <w:tr w14:paraId="0A59C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0E9BB922">
            <w:pPr>
              <w:spacing w:after="0" w:line="240" w:lineRule="auto"/>
              <w:ind w:firstLine="22"/>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Единица измерения</w:t>
            </w:r>
          </w:p>
        </w:tc>
        <w:tc>
          <w:tcPr>
            <w:tcW w:w="7260" w:type="dxa"/>
            <w:tcMar>
              <w:top w:w="80" w:type="dxa"/>
              <w:left w:w="120" w:type="dxa"/>
              <w:bottom w:w="80" w:type="dxa"/>
              <w:right w:w="120" w:type="dxa"/>
            </w:tcMar>
            <w:vAlign w:val="center"/>
          </w:tcPr>
          <w:p w14:paraId="0719F85D">
            <w:pPr>
              <w:spacing w:after="0" w:line="240" w:lineRule="auto"/>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lang w:val="ru-RU"/>
              </w:rPr>
              <w:t>Услуга аренды мобильного комплекса</w:t>
            </w:r>
          </w:p>
        </w:tc>
      </w:tr>
      <w:tr w14:paraId="5A653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30F2F9AF">
            <w:pPr>
              <w:spacing w:after="0" w:line="240" w:lineRule="auto"/>
              <w:ind w:firstLine="22"/>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Количество комплекта</w:t>
            </w:r>
          </w:p>
        </w:tc>
        <w:tc>
          <w:tcPr>
            <w:tcW w:w="7260" w:type="dxa"/>
            <w:tcMar>
              <w:top w:w="80" w:type="dxa"/>
              <w:left w:w="120" w:type="dxa"/>
              <w:bottom w:w="80" w:type="dxa"/>
              <w:right w:w="120" w:type="dxa"/>
            </w:tcMar>
            <w:vAlign w:val="center"/>
          </w:tcPr>
          <w:p w14:paraId="746178D3">
            <w:pPr>
              <w:spacing w:after="0" w:line="240" w:lineRule="auto"/>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sz w:val="20"/>
                <w:szCs w:val="20"/>
                <w:highlight w:val="yellow"/>
              </w:rPr>
              <w:t xml:space="preserve">в количестве </w:t>
            </w:r>
            <w:r>
              <w:rPr>
                <w:rFonts w:ascii="Times New Roman" w:hAnsi="Times New Roman" w:eastAsia="Times New Roman" w:cs="Times New Roman"/>
                <w:sz w:val="20"/>
                <w:szCs w:val="20"/>
                <w:highlight w:val="yellow"/>
                <w:lang w:val="kk-KZ"/>
              </w:rPr>
              <w:t>2</w:t>
            </w:r>
            <w:r>
              <w:rPr>
                <w:rFonts w:ascii="Times New Roman" w:hAnsi="Times New Roman" w:eastAsia="Times New Roman" w:cs="Times New Roman"/>
                <w:sz w:val="20"/>
                <w:szCs w:val="20"/>
                <w:highlight w:val="yellow"/>
              </w:rPr>
              <w:t xml:space="preserve"> штук, Серийный. №№</w:t>
            </w:r>
          </w:p>
        </w:tc>
      </w:tr>
      <w:tr w14:paraId="0DF52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77FEE0FD">
            <w:pPr>
              <w:spacing w:after="0" w:line="240" w:lineRule="auto"/>
              <w:ind w:firstLine="22"/>
              <w:rPr>
                <w:rFonts w:ascii="Times New Roman" w:hAnsi="Times New Roman" w:eastAsia="Times New Roman" w:cs="Times New Roman"/>
                <w:b/>
                <w:bCs/>
                <w:color w:val="000000"/>
                <w:sz w:val="20"/>
                <w:szCs w:val="20"/>
                <w:lang w:val="ru-RU"/>
              </w:rPr>
            </w:pPr>
            <w:r>
              <w:rPr>
                <w:rFonts w:ascii="Times New Roman" w:hAnsi="Times New Roman" w:eastAsia="Times New Roman" w:cs="Times New Roman"/>
                <w:b/>
                <w:bCs/>
                <w:color w:val="000000"/>
                <w:sz w:val="20"/>
                <w:szCs w:val="20"/>
                <w:lang w:val="ru-RU"/>
              </w:rPr>
              <w:t>Модель</w:t>
            </w:r>
          </w:p>
        </w:tc>
        <w:tc>
          <w:tcPr>
            <w:tcW w:w="7260" w:type="dxa"/>
            <w:tcMar>
              <w:top w:w="80" w:type="dxa"/>
              <w:left w:w="120" w:type="dxa"/>
              <w:bottom w:w="80" w:type="dxa"/>
              <w:right w:w="120" w:type="dxa"/>
            </w:tcMar>
            <w:vAlign w:val="center"/>
          </w:tcPr>
          <w:p w14:paraId="080A4B3D">
            <w:pPr>
              <w:spacing w:after="0" w:line="240" w:lineRule="auto"/>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rPr>
              <w:t>Digital Med365</w:t>
            </w:r>
            <w:r>
              <w:rPr>
                <w:rFonts w:ascii="Times New Roman" w:hAnsi="Times New Roman" w:eastAsia="Times New Roman" w:cs="Times New Roman"/>
                <w:color w:val="000000"/>
                <w:sz w:val="20"/>
                <w:szCs w:val="20"/>
                <w:lang w:val="ru-RU"/>
              </w:rPr>
              <w:t xml:space="preserve"> (</w:t>
            </w:r>
            <w:r>
              <w:rPr>
                <w:rFonts w:ascii="Times New Roman" w:hAnsi="Times New Roman" w:eastAsia="Times New Roman" w:cs="Times New Roman"/>
                <w:color w:val="000000"/>
                <w:sz w:val="20"/>
                <w:szCs w:val="20"/>
                <w:lang w:val="en-US"/>
              </w:rPr>
              <w:t>Mektep</w:t>
            </w:r>
            <w:r>
              <w:rPr>
                <w:rFonts w:ascii="Times New Roman" w:hAnsi="Times New Roman" w:eastAsia="Times New Roman" w:cs="Times New Roman"/>
                <w:color w:val="000000"/>
                <w:sz w:val="20"/>
                <w:szCs w:val="20"/>
                <w:lang w:val="ru-RU"/>
              </w:rPr>
              <w:t>)</w:t>
            </w:r>
          </w:p>
        </w:tc>
      </w:tr>
      <w:tr w14:paraId="48B1B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11691ABF">
            <w:pPr>
              <w:spacing w:after="0" w:line="240" w:lineRule="auto"/>
              <w:ind w:firstLine="22"/>
              <w:rPr>
                <w:rFonts w:ascii="Times New Roman" w:hAnsi="Times New Roman" w:eastAsia="Times New Roman" w:cs="Times New Roman"/>
                <w:b/>
                <w:bCs/>
                <w:color w:val="000000"/>
                <w:sz w:val="20"/>
                <w:szCs w:val="20"/>
                <w:lang w:val="ru-RU"/>
              </w:rPr>
            </w:pPr>
            <w:r>
              <w:rPr>
                <w:rFonts w:ascii="Times New Roman" w:hAnsi="Times New Roman" w:eastAsia="Times New Roman" w:cs="Times New Roman"/>
                <w:b/>
                <w:bCs/>
                <w:color w:val="000000"/>
                <w:sz w:val="20"/>
                <w:szCs w:val="20"/>
                <w:lang w:val="ru-RU"/>
              </w:rPr>
              <w:t>Год выпуска</w:t>
            </w:r>
          </w:p>
        </w:tc>
        <w:tc>
          <w:tcPr>
            <w:tcW w:w="7260" w:type="dxa"/>
            <w:tcMar>
              <w:top w:w="80" w:type="dxa"/>
              <w:left w:w="120" w:type="dxa"/>
              <w:bottom w:w="80" w:type="dxa"/>
              <w:right w:w="120" w:type="dxa"/>
            </w:tcMar>
            <w:vAlign w:val="center"/>
          </w:tcPr>
          <w:p w14:paraId="0833DCFE">
            <w:pPr>
              <w:spacing w:after="0" w:line="240" w:lineRule="auto"/>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lang w:val="ru-RU"/>
              </w:rPr>
              <w:t>2026</w:t>
            </w:r>
          </w:p>
        </w:tc>
      </w:tr>
      <w:tr w14:paraId="3F3BD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tcPr>
          <w:p w14:paraId="6545782F">
            <w:pPr>
              <w:spacing w:after="0" w:line="240" w:lineRule="auto"/>
              <w:ind w:firstLine="22"/>
              <w:rPr>
                <w:rFonts w:ascii="Times New Roman" w:hAnsi="Times New Roman" w:eastAsia="Times New Roman" w:cs="Times New Roman"/>
                <w:b/>
                <w:bCs/>
                <w:color w:val="000000"/>
                <w:sz w:val="20"/>
                <w:szCs w:val="20"/>
              </w:rPr>
            </w:pPr>
            <w:r>
              <w:rPr>
                <w:rFonts w:ascii="Times New Roman" w:hAnsi="Times New Roman" w:cs="Times New Roman"/>
                <w:b/>
                <w:sz w:val="20"/>
                <w:szCs w:val="20"/>
              </w:rPr>
              <w:t>Срок поставки</w:t>
            </w:r>
          </w:p>
        </w:tc>
        <w:tc>
          <w:tcPr>
            <w:tcW w:w="7260" w:type="dxa"/>
            <w:tcMar>
              <w:top w:w="80" w:type="dxa"/>
              <w:left w:w="120" w:type="dxa"/>
              <w:bottom w:w="80" w:type="dxa"/>
              <w:right w:w="120" w:type="dxa"/>
            </w:tcMar>
            <w:vAlign w:val="center"/>
          </w:tcPr>
          <w:p w14:paraId="35209D3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highlight w:val="yellow"/>
              </w:rPr>
              <w:t>с 01 ноября по 31 декабря 2026 года</w:t>
            </w:r>
          </w:p>
        </w:tc>
      </w:tr>
      <w:tr w14:paraId="3D270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tcPr>
          <w:p w14:paraId="75B1A979">
            <w:pPr>
              <w:spacing w:after="0" w:line="240" w:lineRule="auto"/>
              <w:ind w:firstLine="22"/>
              <w:rPr>
                <w:rFonts w:ascii="Times New Roman" w:hAnsi="Times New Roman" w:eastAsia="Times New Roman" w:cs="Times New Roman"/>
                <w:b/>
                <w:bCs/>
                <w:color w:val="000000"/>
                <w:sz w:val="20"/>
                <w:szCs w:val="20"/>
              </w:rPr>
            </w:pPr>
            <w:r>
              <w:rPr>
                <w:rFonts w:ascii="Times New Roman" w:hAnsi="Times New Roman" w:cs="Times New Roman"/>
                <w:b/>
                <w:sz w:val="20"/>
                <w:szCs w:val="20"/>
              </w:rPr>
              <w:t>Место оказания услуги</w:t>
            </w:r>
          </w:p>
        </w:tc>
        <w:tc>
          <w:tcPr>
            <w:tcW w:w="7260" w:type="dxa"/>
            <w:tcMar>
              <w:top w:w="80" w:type="dxa"/>
              <w:left w:w="120" w:type="dxa"/>
              <w:bottom w:w="80" w:type="dxa"/>
              <w:right w:w="120" w:type="dxa"/>
            </w:tcMar>
            <w:vAlign w:val="center"/>
          </w:tcPr>
          <w:p w14:paraId="3BBF8390">
            <w:pPr>
              <w:spacing w:after="0" w:line="240" w:lineRule="auto"/>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highlight w:val="yellow"/>
                <w:lang w:val="ru-RU"/>
              </w:rPr>
              <w:t>Республика Казахстан, …</w:t>
            </w:r>
          </w:p>
        </w:tc>
      </w:tr>
      <w:tr w14:paraId="0DD71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tcPr>
          <w:p w14:paraId="1D64F630">
            <w:pPr>
              <w:spacing w:after="0" w:line="240" w:lineRule="auto"/>
              <w:ind w:firstLine="22"/>
              <w:rPr>
                <w:rFonts w:ascii="Times New Roman" w:hAnsi="Times New Roman" w:cs="Times New Roman"/>
                <w:b/>
                <w:sz w:val="20"/>
                <w:szCs w:val="20"/>
              </w:rPr>
            </w:pPr>
            <w:r>
              <w:rPr>
                <w:rFonts w:ascii="Times New Roman" w:hAnsi="Times New Roman" w:cs="Times New Roman"/>
                <w:b/>
                <w:sz w:val="20"/>
                <w:szCs w:val="20"/>
                <w:lang w:val="ru-RU"/>
              </w:rPr>
              <w:t>Формат</w:t>
            </w:r>
            <w:r>
              <w:rPr>
                <w:rFonts w:ascii="Times New Roman" w:hAnsi="Times New Roman" w:cs="Times New Roman"/>
                <w:b/>
                <w:sz w:val="20"/>
                <w:szCs w:val="20"/>
              </w:rPr>
              <w:t xml:space="preserve"> оказания услуги</w:t>
            </w:r>
          </w:p>
        </w:tc>
        <w:tc>
          <w:tcPr>
            <w:tcW w:w="7260" w:type="dxa"/>
            <w:tcMar>
              <w:top w:w="80" w:type="dxa"/>
              <w:left w:w="120" w:type="dxa"/>
              <w:bottom w:w="80" w:type="dxa"/>
              <w:right w:w="120" w:type="dxa"/>
            </w:tcMar>
            <w:vAlign w:val="center"/>
          </w:tcPr>
          <w:p w14:paraId="4545478F">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lang w:val="ru-RU"/>
              </w:rPr>
              <w:t xml:space="preserve">Мобильный комплекс </w:t>
            </w:r>
            <w:r>
              <w:rPr>
                <w:rFonts w:ascii="Times New Roman" w:hAnsi="Times New Roman" w:eastAsia="Times New Roman" w:cs="Times New Roman"/>
                <w:color w:val="000000"/>
                <w:sz w:val="20"/>
                <w:szCs w:val="20"/>
              </w:rPr>
              <w:t>предоставля</w:t>
            </w:r>
            <w:r>
              <w:rPr>
                <w:rFonts w:ascii="Times New Roman" w:hAnsi="Times New Roman" w:eastAsia="Times New Roman" w:cs="Times New Roman"/>
                <w:color w:val="000000"/>
                <w:sz w:val="20"/>
                <w:szCs w:val="20"/>
                <w:lang w:val="ru-RU"/>
              </w:rPr>
              <w:t>е</w:t>
            </w:r>
            <w:r>
              <w:rPr>
                <w:rFonts w:ascii="Times New Roman" w:hAnsi="Times New Roman" w:eastAsia="Times New Roman" w:cs="Times New Roman"/>
                <w:color w:val="000000"/>
                <w:sz w:val="20"/>
                <w:szCs w:val="20"/>
              </w:rPr>
              <w:t xml:space="preserve">тся </w:t>
            </w:r>
            <w:r>
              <w:rPr>
                <w:rFonts w:ascii="Times New Roman" w:hAnsi="Times New Roman" w:eastAsia="Times New Roman" w:cs="Times New Roman"/>
                <w:color w:val="000000"/>
                <w:sz w:val="20"/>
                <w:szCs w:val="20"/>
                <w:lang w:val="ru-RU"/>
              </w:rPr>
              <w:t>п</w:t>
            </w:r>
            <w:r>
              <w:rPr>
                <w:rFonts w:ascii="Times New Roman" w:hAnsi="Times New Roman" w:eastAsia="Times New Roman" w:cs="Times New Roman"/>
                <w:color w:val="000000"/>
                <w:sz w:val="20"/>
                <w:szCs w:val="20"/>
              </w:rPr>
              <w:t>оставщиком во временное пользование на срок оказания услуги без перехода права собственности к Заказчику.</w:t>
            </w:r>
          </w:p>
        </w:tc>
      </w:tr>
      <w:tr w14:paraId="69003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0F407DD3">
            <w:pPr>
              <w:spacing w:after="0" w:line="240" w:lineRule="auto"/>
              <w:ind w:firstLine="22"/>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Общие требования к услуге</w:t>
            </w:r>
          </w:p>
        </w:tc>
        <w:tc>
          <w:tcPr>
            <w:tcW w:w="7260" w:type="dxa"/>
            <w:tcMar>
              <w:top w:w="80" w:type="dxa"/>
              <w:left w:w="120" w:type="dxa"/>
              <w:bottom w:w="80" w:type="dxa"/>
              <w:right w:w="120" w:type="dxa"/>
            </w:tcMar>
            <w:vAlign w:val="center"/>
          </w:tcPr>
          <w:p w14:paraId="7DF2DC97">
            <w:pPr>
              <w:spacing w:after="0" w:line="240" w:lineRule="auto"/>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lang w:val="ru-RU"/>
              </w:rPr>
              <w:t>Услуга включает передачу мобильного комплекса в том числе телемедицинской системы, во временное возмездное пользование, ввод в эксплуатацию, сервисное  и техническое обслуживание в течение срока аренды и первичное обучение работе с мобильным комплексом.</w:t>
            </w:r>
          </w:p>
          <w:p w14:paraId="47FE7235">
            <w:pPr>
              <w:spacing w:after="0" w:line="240" w:lineRule="auto"/>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lang w:val="ru-RU"/>
              </w:rPr>
              <w:t>Требования:</w:t>
            </w:r>
          </w:p>
          <w:p w14:paraId="69059AC4">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оборудование должно быть новым, не бывшим в эксплуатации, без восстановленных узлов;</w:t>
            </w:r>
          </w:p>
          <w:p w14:paraId="170F529B">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14:paraId="41E0D262">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14:paraId="68F3DDC7">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14:paraId="6E9015E0">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электропитание стационарных компонентов — от сети 220 В, 50 Гц; сетевые вилки и адаптеры должны соответствовать условиям объекта;</w:t>
            </w:r>
          </w:p>
          <w:p w14:paraId="28A41282">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14:paraId="3966E0DD">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 xml:space="preserve">гарантийный срок на оборудование — не менее </w:t>
            </w:r>
            <w:r>
              <w:rPr>
                <w:rFonts w:ascii="Times New Roman" w:hAnsi="Times New Roman" w:eastAsia="Times New Roman" w:cs="Times New Roman"/>
                <w:color w:val="000000"/>
                <w:sz w:val="20"/>
                <w:szCs w:val="20"/>
                <w:lang w:val="ru-RU"/>
              </w:rPr>
              <w:t xml:space="preserve">срока аренды с </w:t>
            </w:r>
            <w:r>
              <w:rPr>
                <w:rFonts w:ascii="Times New Roman" w:hAnsi="Times New Roman" w:eastAsia="Times New Roman" w:cs="Times New Roman"/>
                <w:color w:val="000000"/>
                <w:sz w:val="20"/>
                <w:szCs w:val="20"/>
              </w:rPr>
              <w:t>даты ввода в эксплуатацию;</w:t>
            </w:r>
          </w:p>
          <w:p w14:paraId="3ACD5DBF">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14:paraId="3827C6BE">
            <w:pPr>
              <w:numPr>
                <w:ilvl w:val="0"/>
                <w:numId w:val="1"/>
              </w:numPr>
              <w:tabs>
                <w:tab w:val="left" w:pos="284"/>
              </w:tabs>
              <w:spacing w:after="0" w:line="240" w:lineRule="auto"/>
              <w:ind w:left="332" w:hanging="284"/>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14:paraId="0510C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496EF3D6">
            <w:pPr>
              <w:spacing w:after="0" w:line="240" w:lineRule="auto"/>
              <w:ind w:firstLine="22"/>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Нормативные требования</w:t>
            </w:r>
          </w:p>
        </w:tc>
        <w:tc>
          <w:tcPr>
            <w:tcW w:w="7260" w:type="dxa"/>
            <w:tcMar>
              <w:top w:w="80" w:type="dxa"/>
              <w:left w:w="120" w:type="dxa"/>
              <w:bottom w:w="80" w:type="dxa"/>
              <w:right w:w="120" w:type="dxa"/>
            </w:tcMar>
            <w:vAlign w:val="center"/>
          </w:tcPr>
          <w:p w14:paraId="408D3AAC">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14:paraId="1EFDC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23E2D7BD">
            <w:pPr>
              <w:spacing w:after="0" w:line="240" w:lineRule="auto"/>
              <w:ind w:firstLine="22"/>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Нормативное основание</w:t>
            </w:r>
          </w:p>
        </w:tc>
        <w:tc>
          <w:tcPr>
            <w:tcW w:w="7260" w:type="dxa"/>
            <w:tcMar>
              <w:top w:w="80" w:type="dxa"/>
              <w:left w:w="120" w:type="dxa"/>
              <w:bottom w:w="80" w:type="dxa"/>
              <w:right w:w="120" w:type="dxa"/>
            </w:tcMar>
            <w:vAlign w:val="center"/>
          </w:tcPr>
          <w:p w14:paraId="507B231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lang w:val="ru-RU"/>
              </w:rPr>
              <w:t>П</w:t>
            </w:r>
            <w:r>
              <w:rPr>
                <w:rFonts w:ascii="Times New Roman" w:hAnsi="Times New Roman" w:eastAsia="Times New Roman" w:cs="Times New Roman"/>
                <w:color w:val="000000"/>
                <w:sz w:val="20"/>
                <w:szCs w:val="20"/>
              </w:rPr>
              <w:t>риложение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14:paraId="3624B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6EE8F10D">
            <w:pPr>
              <w:spacing w:after="0" w:line="240" w:lineRule="auto"/>
              <w:ind w:firstLine="22"/>
              <w:rPr>
                <w:rFonts w:ascii="Times New Roman" w:hAnsi="Times New Roman" w:eastAsia="Times New Roman" w:cs="Times New Roman"/>
                <w:b/>
                <w:bCs/>
                <w:color w:val="000000"/>
                <w:sz w:val="20"/>
                <w:szCs w:val="20"/>
                <w:lang w:val="ru-RU"/>
              </w:rPr>
            </w:pPr>
            <w:r>
              <w:rPr>
                <w:rFonts w:ascii="Times New Roman" w:hAnsi="Times New Roman" w:eastAsia="Times New Roman" w:cs="Times New Roman"/>
                <w:b/>
                <w:bCs/>
                <w:color w:val="000000"/>
                <w:sz w:val="20"/>
                <w:szCs w:val="20"/>
              </w:rPr>
              <w:t xml:space="preserve">Состав </w:t>
            </w:r>
            <w:r>
              <w:rPr>
                <w:rFonts w:ascii="Times New Roman" w:hAnsi="Times New Roman" w:eastAsia="Times New Roman" w:cs="Times New Roman"/>
                <w:b/>
                <w:bCs/>
                <w:color w:val="000000"/>
                <w:sz w:val="20"/>
                <w:szCs w:val="20"/>
                <w:lang w:val="ru-RU"/>
              </w:rPr>
              <w:t xml:space="preserve">базового </w:t>
            </w:r>
            <w:r>
              <w:rPr>
                <w:rFonts w:ascii="Times New Roman" w:hAnsi="Times New Roman" w:eastAsia="Times New Roman" w:cs="Times New Roman"/>
                <w:b/>
                <w:bCs/>
                <w:color w:val="000000"/>
                <w:sz w:val="20"/>
                <w:szCs w:val="20"/>
              </w:rPr>
              <w:t xml:space="preserve">комплекта </w:t>
            </w:r>
            <w:r>
              <w:rPr>
                <w:rFonts w:ascii="Times New Roman" w:hAnsi="Times New Roman" w:eastAsia="Times New Roman" w:cs="Times New Roman"/>
                <w:b/>
                <w:bCs/>
                <w:color w:val="000000"/>
                <w:sz w:val="20"/>
                <w:szCs w:val="20"/>
                <w:lang w:val="ru-RU"/>
              </w:rPr>
              <w:t>мобильного комплекса</w:t>
            </w:r>
          </w:p>
        </w:tc>
        <w:tc>
          <w:tcPr>
            <w:tcW w:w="7260" w:type="dxa"/>
            <w:tcMar>
              <w:top w:w="80" w:type="dxa"/>
              <w:left w:w="120" w:type="dxa"/>
              <w:bottom w:w="80" w:type="dxa"/>
              <w:right w:w="120" w:type="dxa"/>
            </w:tcMar>
            <w:vAlign w:val="center"/>
          </w:tcPr>
          <w:tbl>
            <w:tblPr>
              <w:tblStyle w:val="9"/>
              <w:tblW w:w="6845"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324"/>
              <w:gridCol w:w="1984"/>
              <w:gridCol w:w="3544"/>
              <w:gridCol w:w="993"/>
            </w:tblGrid>
            <w:tr w14:paraId="7884AC3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324" w:type="dxa"/>
                  <w:shd w:val="clear" w:color="auto" w:fill="FFFFFF"/>
                  <w:tcMar>
                    <w:top w:w="80" w:type="dxa"/>
                    <w:left w:w="120" w:type="dxa"/>
                    <w:bottom w:w="80" w:type="dxa"/>
                    <w:right w:w="120" w:type="dxa"/>
                  </w:tcMar>
                  <w:vAlign w:val="center"/>
                </w:tcPr>
                <w:p w14:paraId="79747668">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14:paraId="03EF6933">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Наименование</w:t>
                  </w:r>
                </w:p>
              </w:tc>
              <w:tc>
                <w:tcPr>
                  <w:tcW w:w="3544" w:type="dxa"/>
                  <w:shd w:val="clear" w:color="auto" w:fill="FFFFFF"/>
                  <w:tcMar>
                    <w:top w:w="80" w:type="dxa"/>
                    <w:left w:w="120" w:type="dxa"/>
                    <w:bottom w:w="80" w:type="dxa"/>
                    <w:right w:w="120" w:type="dxa"/>
                  </w:tcMar>
                  <w:vAlign w:val="center"/>
                </w:tcPr>
                <w:p w14:paraId="12A36EEB">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Назначение</w:t>
                  </w:r>
                </w:p>
              </w:tc>
              <w:tc>
                <w:tcPr>
                  <w:tcW w:w="993" w:type="dxa"/>
                  <w:shd w:val="clear" w:color="auto" w:fill="FFFFFF"/>
                  <w:tcMar>
                    <w:top w:w="80" w:type="dxa"/>
                    <w:left w:w="120" w:type="dxa"/>
                    <w:bottom w:w="80" w:type="dxa"/>
                    <w:right w:w="120" w:type="dxa"/>
                  </w:tcMar>
                  <w:vAlign w:val="center"/>
                </w:tcPr>
                <w:p w14:paraId="22E2F95A">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Базовое кол-во</w:t>
                  </w:r>
                </w:p>
              </w:tc>
            </w:tr>
            <w:tr w14:paraId="5EEF7FAF">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c>
                <w:tcPr>
                  <w:tcW w:w="324" w:type="dxa"/>
                  <w:shd w:val="clear" w:color="auto" w:fill="FFFFFF"/>
                  <w:tcMar>
                    <w:top w:w="80" w:type="dxa"/>
                    <w:left w:w="120" w:type="dxa"/>
                    <w:bottom w:w="80" w:type="dxa"/>
                    <w:right w:w="120" w:type="dxa"/>
                  </w:tcMar>
                  <w:vAlign w:val="center"/>
                </w:tcPr>
                <w:p w14:paraId="14CF8E81">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14:paraId="799A9A24">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14:paraId="3B18488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14:paraId="2DA2F07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1 компл.</w:t>
                  </w:r>
                </w:p>
              </w:tc>
            </w:tr>
            <w:tr w14:paraId="14F7FCC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c>
                <w:tcPr>
                  <w:tcW w:w="324" w:type="dxa"/>
                  <w:shd w:val="clear" w:color="auto" w:fill="FFFFFF"/>
                  <w:tcMar>
                    <w:top w:w="80" w:type="dxa"/>
                    <w:left w:w="120" w:type="dxa"/>
                    <w:bottom w:w="80" w:type="dxa"/>
                    <w:right w:w="120" w:type="dxa"/>
                  </w:tcMar>
                  <w:vAlign w:val="center"/>
                </w:tcPr>
                <w:p w14:paraId="25024BD8">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14:paraId="64246D31">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Цифровой стетофонендоскоп</w:t>
                  </w:r>
                </w:p>
              </w:tc>
              <w:tc>
                <w:tcPr>
                  <w:tcW w:w="3544" w:type="dxa"/>
                  <w:shd w:val="clear" w:color="auto" w:fill="FFFFFF"/>
                  <w:tcMar>
                    <w:top w:w="80" w:type="dxa"/>
                    <w:left w:w="120" w:type="dxa"/>
                    <w:bottom w:w="80" w:type="dxa"/>
                    <w:right w:w="120" w:type="dxa"/>
                  </w:tcMar>
                  <w:vAlign w:val="center"/>
                </w:tcPr>
                <w:p w14:paraId="647DD4D4">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14:paraId="4A5AB5A9">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1 компл.</w:t>
                  </w:r>
                </w:p>
              </w:tc>
            </w:tr>
            <w:tr w14:paraId="601E466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c>
                <w:tcPr>
                  <w:tcW w:w="324" w:type="dxa"/>
                  <w:shd w:val="clear" w:color="auto" w:fill="FFFFFF"/>
                  <w:tcMar>
                    <w:top w:w="80" w:type="dxa"/>
                    <w:left w:w="120" w:type="dxa"/>
                    <w:bottom w:w="80" w:type="dxa"/>
                    <w:right w:w="120" w:type="dxa"/>
                  </w:tcMar>
                  <w:vAlign w:val="center"/>
                </w:tcPr>
                <w:p w14:paraId="08A8EC62">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14:paraId="538124C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14:paraId="1C6C8A1C">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Измерение SpO₂ и частоты пульса</w:t>
                  </w:r>
                </w:p>
              </w:tc>
              <w:tc>
                <w:tcPr>
                  <w:tcW w:w="993" w:type="dxa"/>
                  <w:shd w:val="clear" w:color="auto" w:fill="FFFFFF"/>
                  <w:tcMar>
                    <w:top w:w="80" w:type="dxa"/>
                    <w:left w:w="120" w:type="dxa"/>
                    <w:bottom w:w="80" w:type="dxa"/>
                    <w:right w:w="120" w:type="dxa"/>
                  </w:tcMar>
                  <w:vAlign w:val="center"/>
                </w:tcPr>
                <w:p w14:paraId="0AFB274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1 шт.</w:t>
                  </w:r>
                </w:p>
              </w:tc>
            </w:tr>
            <w:tr w14:paraId="5A0068A3">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c>
                <w:tcPr>
                  <w:tcW w:w="324" w:type="dxa"/>
                  <w:shd w:val="clear" w:color="auto" w:fill="FFFFFF"/>
                  <w:tcMar>
                    <w:top w:w="80" w:type="dxa"/>
                    <w:left w:w="120" w:type="dxa"/>
                    <w:bottom w:w="80" w:type="dxa"/>
                    <w:right w:w="120" w:type="dxa"/>
                  </w:tcMar>
                  <w:vAlign w:val="center"/>
                </w:tcPr>
                <w:p w14:paraId="047FAA13">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14:paraId="30AC4769">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14:paraId="5C3C5CF0">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14:paraId="12C63C3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1 компл.</w:t>
                  </w:r>
                </w:p>
              </w:tc>
            </w:tr>
            <w:tr w14:paraId="11836C3C">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c>
                <w:tcPr>
                  <w:tcW w:w="324" w:type="dxa"/>
                  <w:shd w:val="clear" w:color="auto" w:fill="FFFFFF"/>
                  <w:tcMar>
                    <w:top w:w="80" w:type="dxa"/>
                    <w:left w:w="120" w:type="dxa"/>
                    <w:bottom w:w="80" w:type="dxa"/>
                    <w:right w:w="120" w:type="dxa"/>
                  </w:tcMar>
                  <w:vAlign w:val="center"/>
                </w:tcPr>
                <w:p w14:paraId="5CBB1592">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14:paraId="10377282">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Цифровой отоскоп</w:t>
                  </w:r>
                </w:p>
              </w:tc>
              <w:tc>
                <w:tcPr>
                  <w:tcW w:w="3544" w:type="dxa"/>
                  <w:shd w:val="clear" w:color="auto" w:fill="FFFFFF"/>
                  <w:tcMar>
                    <w:top w:w="80" w:type="dxa"/>
                    <w:left w:w="120" w:type="dxa"/>
                    <w:bottom w:w="80" w:type="dxa"/>
                    <w:right w:w="120" w:type="dxa"/>
                  </w:tcMar>
                  <w:vAlign w:val="center"/>
                </w:tcPr>
                <w:p w14:paraId="3A30B15B">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14:paraId="7910B883">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1 компл.</w:t>
                  </w:r>
                </w:p>
              </w:tc>
            </w:tr>
            <w:tr w14:paraId="2DFFFE65">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c>
                <w:tcPr>
                  <w:tcW w:w="324" w:type="dxa"/>
                  <w:shd w:val="clear" w:color="auto" w:fill="FFFFFF"/>
                  <w:tcMar>
                    <w:top w:w="80" w:type="dxa"/>
                    <w:left w:w="120" w:type="dxa"/>
                    <w:bottom w:w="80" w:type="dxa"/>
                    <w:right w:w="120" w:type="dxa"/>
                  </w:tcMar>
                  <w:vAlign w:val="center"/>
                </w:tcPr>
                <w:p w14:paraId="79DBE9F9">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14:paraId="04ABEDCC">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14:paraId="52CE53CB">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14:paraId="507184C9">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1 компл.</w:t>
                  </w:r>
                </w:p>
              </w:tc>
            </w:tr>
          </w:tbl>
          <w:p w14:paraId="50CF2755">
            <w:pPr>
              <w:spacing w:after="0" w:line="240" w:lineRule="auto"/>
              <w:jc w:val="both"/>
              <w:rPr>
                <w:rFonts w:ascii="Times New Roman" w:hAnsi="Times New Roman" w:eastAsia="Times New Roman" w:cs="Times New Roman"/>
                <w:color w:val="000000"/>
                <w:sz w:val="20"/>
                <w:szCs w:val="20"/>
              </w:rPr>
            </w:pPr>
          </w:p>
        </w:tc>
      </w:tr>
      <w:tr w14:paraId="3E0C1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3A4E0B58">
            <w:pPr>
              <w:spacing w:after="0" w:line="240" w:lineRule="auto"/>
              <w:ind w:firstLine="2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Цифровой электрокардиограф</w:t>
            </w:r>
          </w:p>
        </w:tc>
        <w:tc>
          <w:tcPr>
            <w:tcW w:w="7260" w:type="dxa"/>
            <w:tcMar>
              <w:top w:w="80" w:type="dxa"/>
              <w:left w:w="120" w:type="dxa"/>
              <w:bottom w:w="80" w:type="dxa"/>
              <w:right w:w="120" w:type="dxa"/>
            </w:tcMar>
            <w:vAlign w:val="center"/>
          </w:tcPr>
          <w:p w14:paraId="5F160EA7">
            <w:pPr>
              <w:spacing w:after="0" w:line="240" w:lineRule="auto"/>
              <w:ind w:firstLine="333"/>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Назначение</w:t>
            </w:r>
            <w:r>
              <w:rPr>
                <w:rFonts w:ascii="Times New Roman" w:hAnsi="Times New Roman" w:eastAsia="Times New Roman" w:cs="Times New Roman"/>
                <w:color w:val="000000"/>
                <w:sz w:val="20"/>
                <w:szCs w:val="20"/>
              </w:rPr>
              <w:t>. Регистрация электрокардиограммы покоя с одновременным получением стандартных 12 отведений.</w:t>
            </w:r>
          </w:p>
          <w:p w14:paraId="6C3CF4C8">
            <w:pPr>
              <w:spacing w:after="0" w:line="240" w:lineRule="auto"/>
              <w:ind w:firstLine="333"/>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 xml:space="preserve">Принцип работы. </w:t>
            </w:r>
            <w:r>
              <w:rPr>
                <w:rFonts w:ascii="Times New Roman" w:hAnsi="Times New Roman" w:eastAsia="Times New Roman" w:cs="Times New Roman"/>
                <w:color w:val="000000"/>
                <w:sz w:val="20"/>
                <w:szCs w:val="20"/>
              </w:rPr>
              <w:t>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обследуемого. Автоматическая обработка может формировать измерения и предварительное заключение, подлежащее проверке врачом.</w:t>
            </w:r>
          </w:p>
          <w:p w14:paraId="79878DDF">
            <w:pPr>
              <w:spacing w:after="0" w:line="240" w:lineRule="auto"/>
              <w:ind w:firstLine="567"/>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МИНИМАЛЬНЫЕ ТЕХНИЧЕСКИЕ ПАРАМЕТРЫ</w:t>
            </w:r>
          </w:p>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1883"/>
              <w:gridCol w:w="4961"/>
            </w:tblGrid>
            <w:tr w14:paraId="1C5DCD1C">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1883" w:type="dxa"/>
                  <w:shd w:val="clear" w:color="auto" w:fill="FFFFFF"/>
                  <w:tcMar>
                    <w:top w:w="80" w:type="dxa"/>
                    <w:left w:w="120" w:type="dxa"/>
                    <w:bottom w:w="80" w:type="dxa"/>
                    <w:right w:w="120" w:type="dxa"/>
                  </w:tcMar>
                  <w:vAlign w:val="center"/>
                </w:tcPr>
                <w:p w14:paraId="605A8F88">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14:paraId="0D41476D">
                  <w:pPr>
                    <w:spacing w:after="0" w:line="240" w:lineRule="auto"/>
                    <w:ind w:firstLine="3"/>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Требование</w:t>
                  </w:r>
                </w:p>
              </w:tc>
            </w:tr>
            <w:tr w14:paraId="2EA1151E">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55925A9A">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14:paraId="6AAA9EF5">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ЭКГ покоя; одновременная регистрация 12 стандартных отведений</w:t>
                  </w:r>
                </w:p>
              </w:tc>
            </w:tr>
            <w:tr w14:paraId="48A15FD0">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74B3D9E4">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14:paraId="32BAF04C">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10-проводной кабель: 4 конечностных и 6 грудных электродов</w:t>
                  </w:r>
                </w:p>
              </w:tc>
            </w:tr>
            <w:tr w14:paraId="205E3205">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71E57DFC">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14:paraId="0C1F1B12">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12 бит</w:t>
                  </w:r>
                </w:p>
              </w:tc>
            </w:tr>
            <w:tr w14:paraId="6FCEDC91">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58B1B14C">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14:paraId="33EB9564">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2 000 отсчётов/с на канал</w:t>
                  </w:r>
                </w:p>
              </w:tc>
            </w:tr>
            <w:tr w14:paraId="5FF24F67">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6DF08C33">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Частотный диапазон</w:t>
                  </w:r>
                </w:p>
              </w:tc>
              <w:tc>
                <w:tcPr>
                  <w:tcW w:w="4961" w:type="dxa"/>
                  <w:shd w:val="clear" w:color="auto" w:fill="FFFFFF"/>
                  <w:tcMar>
                    <w:top w:w="80" w:type="dxa"/>
                    <w:left w:w="120" w:type="dxa"/>
                    <w:bottom w:w="80" w:type="dxa"/>
                    <w:right w:w="120" w:type="dxa"/>
                  </w:tcMar>
                  <w:vAlign w:val="center"/>
                </w:tcPr>
                <w:p w14:paraId="403F8586">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 0,05 до 150 Гц</w:t>
                  </w:r>
                </w:p>
              </w:tc>
            </w:tr>
            <w:tr w14:paraId="4959CC42">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6DDD0792">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Подавление синфазной помехи</w:t>
                  </w:r>
                </w:p>
              </w:tc>
              <w:tc>
                <w:tcPr>
                  <w:tcW w:w="4961" w:type="dxa"/>
                  <w:shd w:val="clear" w:color="auto" w:fill="FFFFFF"/>
                  <w:tcMar>
                    <w:top w:w="80" w:type="dxa"/>
                    <w:left w:w="120" w:type="dxa"/>
                    <w:bottom w:w="80" w:type="dxa"/>
                    <w:right w:w="120" w:type="dxa"/>
                  </w:tcMar>
                  <w:vAlign w:val="center"/>
                </w:tcPr>
                <w:p w14:paraId="53784E1F">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100 дБ при отключённом сетевом фильтре</w:t>
                  </w:r>
                </w:p>
              </w:tc>
            </w:tr>
            <w:tr w14:paraId="4AABBD2E">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14FDE761">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14:paraId="6BA24130">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 30 до 300 уд/мин; предел допускаемой погрешности — не более ±1 уд/мин или ±1 %</w:t>
                  </w:r>
                </w:p>
              </w:tc>
            </w:tr>
            <w:tr w14:paraId="623C3957">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39857989">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Фильтрация</w:t>
                  </w:r>
                </w:p>
              </w:tc>
              <w:tc>
                <w:tcPr>
                  <w:tcW w:w="4961" w:type="dxa"/>
                  <w:shd w:val="clear" w:color="auto" w:fill="FFFFFF"/>
                  <w:tcMar>
                    <w:top w:w="80" w:type="dxa"/>
                    <w:left w:w="120" w:type="dxa"/>
                    <w:bottom w:w="80" w:type="dxa"/>
                    <w:right w:w="120" w:type="dxa"/>
                  </w:tcMar>
                  <w:vAlign w:val="center"/>
                </w:tcPr>
                <w:p w14:paraId="50943EDB">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14:paraId="249D181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3B709A05">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14:paraId="69D17C5E">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Bluetooth версии 4.0 или выше и проводное подключение USB</w:t>
                  </w:r>
                </w:p>
              </w:tc>
            </w:tr>
            <w:tr w14:paraId="146C4B95">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39B1DA16">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14:paraId="77084C84">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14:paraId="0C0217C5">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199C4EB3">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14:paraId="1C83EC04">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130 × 70 × 25 мм</w:t>
                  </w:r>
                </w:p>
              </w:tc>
            </w:tr>
            <w:tr w14:paraId="3A61606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Height w:val="15" w:hRule="atLeast"/>
              </w:trPr>
              <w:tc>
                <w:tcPr>
                  <w:tcW w:w="1883" w:type="dxa"/>
                  <w:shd w:val="clear" w:color="auto" w:fill="FFFFFF"/>
                  <w:tcMar>
                    <w:top w:w="80" w:type="dxa"/>
                    <w:left w:w="120" w:type="dxa"/>
                    <w:bottom w:w="80" w:type="dxa"/>
                    <w:right w:w="120" w:type="dxa"/>
                  </w:tcMar>
                  <w:vAlign w:val="center"/>
                </w:tcPr>
                <w:p w14:paraId="47568A87">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14:paraId="5E0D2C17">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14:paraId="44BBEE10">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КОМПЛЕКТНОСТЬ</w:t>
            </w:r>
          </w:p>
          <w:p w14:paraId="78A8C0D0">
            <w:pPr>
              <w:numPr>
                <w:ilvl w:val="0"/>
                <w:numId w:val="2"/>
              </w:numPr>
              <w:tabs>
                <w:tab w:val="left" w:pos="191"/>
              </w:tabs>
              <w:spacing w:after="0" w:line="240" w:lineRule="auto"/>
              <w:ind w:left="49"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модуль регистрации ЭКГ;</w:t>
            </w:r>
          </w:p>
          <w:p w14:paraId="7CF9E611">
            <w:pPr>
              <w:numPr>
                <w:ilvl w:val="0"/>
                <w:numId w:val="2"/>
              </w:numPr>
              <w:tabs>
                <w:tab w:val="left" w:pos="191"/>
              </w:tabs>
              <w:spacing w:after="0" w:line="240" w:lineRule="auto"/>
              <w:ind w:left="49"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10-проводной кабель;</w:t>
            </w:r>
          </w:p>
          <w:p w14:paraId="19FC19C8">
            <w:pPr>
              <w:numPr>
                <w:ilvl w:val="0"/>
                <w:numId w:val="2"/>
              </w:numPr>
              <w:tabs>
                <w:tab w:val="left" w:pos="191"/>
              </w:tabs>
              <w:spacing w:after="0" w:line="240" w:lineRule="auto"/>
              <w:ind w:left="49"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комплект многоразовых либо одноразовых грудных и конечностных электродов;</w:t>
            </w:r>
          </w:p>
          <w:p w14:paraId="7775CE04">
            <w:pPr>
              <w:numPr>
                <w:ilvl w:val="0"/>
                <w:numId w:val="2"/>
              </w:numPr>
              <w:tabs>
                <w:tab w:val="left" w:pos="191"/>
              </w:tabs>
              <w:spacing w:after="0" w:line="240" w:lineRule="auto"/>
              <w:ind w:left="49"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USB-кабель, элементы питания и беспроводной адаптер, если он требуется конструкцией;</w:t>
            </w:r>
          </w:p>
          <w:p w14:paraId="7D6D70C7">
            <w:pPr>
              <w:numPr>
                <w:ilvl w:val="0"/>
                <w:numId w:val="2"/>
              </w:numPr>
              <w:tabs>
                <w:tab w:val="left" w:pos="191"/>
              </w:tabs>
              <w:spacing w:after="0" w:line="240" w:lineRule="auto"/>
              <w:ind w:left="49"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клиентское программное обеспечение или интеграционный модуль;</w:t>
            </w:r>
          </w:p>
          <w:p w14:paraId="6A8C6FE9">
            <w:pPr>
              <w:numPr>
                <w:ilvl w:val="0"/>
                <w:numId w:val="2"/>
              </w:numPr>
              <w:tabs>
                <w:tab w:val="left" w:pos="191"/>
              </w:tabs>
              <w:spacing w:after="0" w:line="240" w:lineRule="auto"/>
              <w:ind w:left="49"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инструкция по эксплуатации и средства первичного запуска.</w:t>
            </w:r>
          </w:p>
          <w:p w14:paraId="28AE33F5">
            <w:pPr>
              <w:spacing w:after="0" w:line="240" w:lineRule="auto"/>
              <w:ind w:firstLine="10"/>
              <w:jc w:val="both"/>
              <w:rPr>
                <w:rFonts w:ascii="Times New Roman" w:hAnsi="Times New Roman" w:eastAsia="Times New Roman" w:cs="Times New Roman"/>
                <w:b/>
                <w:bCs/>
                <w:color w:val="000000"/>
                <w:sz w:val="20"/>
                <w:szCs w:val="20"/>
                <w:lang w:val="ru-RU"/>
              </w:rPr>
            </w:pPr>
            <w:r>
              <w:rPr>
                <w:rFonts w:ascii="Times New Roman" w:hAnsi="Times New Roman" w:eastAsia="Times New Roman" w:cs="Times New Roman"/>
                <w:color w:val="000000"/>
                <w:sz w:val="20"/>
                <w:szCs w:val="20"/>
              </w:rPr>
              <w:t>ЭКГ должна автоматически сохраняться в карточке обследуемого и быть доступна на планшете и в веб-кабинете врача с возможностью масштабирования, повторного просмотра и формирования отчёта.</w:t>
            </w:r>
          </w:p>
        </w:tc>
      </w:tr>
      <w:tr w14:paraId="3D4F2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6FE4B7AF">
            <w:pPr>
              <w:spacing w:after="0" w:line="240" w:lineRule="auto"/>
              <w:ind w:firstLine="2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Цифровой стетофонендоскоп</w:t>
            </w:r>
          </w:p>
        </w:tc>
        <w:tc>
          <w:tcPr>
            <w:tcW w:w="7260" w:type="dxa"/>
            <w:tcMar>
              <w:top w:w="80" w:type="dxa"/>
              <w:left w:w="120" w:type="dxa"/>
              <w:bottom w:w="80" w:type="dxa"/>
              <w:right w:w="120" w:type="dxa"/>
            </w:tcMar>
            <w:vAlign w:val="center"/>
          </w:tcPr>
          <w:p w14:paraId="34679E13">
            <w:pPr>
              <w:spacing w:after="0" w:line="240" w:lineRule="auto"/>
              <w:ind w:firstLine="191"/>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Назначение</w:t>
            </w:r>
            <w:r>
              <w:rPr>
                <w:rFonts w:ascii="Times New Roman" w:hAnsi="Times New Roman" w:eastAsia="Times New Roman" w:cs="Times New Roman"/>
                <w:color w:val="000000"/>
                <w:sz w:val="20"/>
                <w:szCs w:val="20"/>
              </w:rPr>
              <w:t>. Аускультация, усиление, запись и дистанционная передача звуков сердца и лёгких.</w:t>
            </w:r>
          </w:p>
          <w:p w14:paraId="06280F28">
            <w:pPr>
              <w:spacing w:after="0" w:line="240" w:lineRule="auto"/>
              <w:ind w:firstLine="191"/>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Принцип работы</w:t>
            </w:r>
            <w:r>
              <w:rPr>
                <w:rFonts w:ascii="Times New Roman" w:hAnsi="Times New Roman" w:eastAsia="Times New Roman" w:cs="Times New Roman"/>
                <w:color w:val="000000"/>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1741"/>
              <w:gridCol w:w="5103"/>
            </w:tblGrid>
            <w:tr w14:paraId="6EBC0D5B">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1741" w:type="dxa"/>
                  <w:shd w:val="clear" w:color="auto" w:fill="FFFFFF"/>
                  <w:tcMar>
                    <w:top w:w="80" w:type="dxa"/>
                    <w:left w:w="120" w:type="dxa"/>
                    <w:bottom w:w="80" w:type="dxa"/>
                    <w:right w:w="120" w:type="dxa"/>
                  </w:tcMar>
                  <w:vAlign w:val="center"/>
                </w:tcPr>
                <w:p w14:paraId="49DA1340">
                  <w:pPr>
                    <w:spacing w:after="0"/>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4E214E0C">
                  <w:pPr>
                    <w:spacing w:after="0"/>
                    <w:ind w:firstLine="3"/>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Требование</w:t>
                  </w:r>
                </w:p>
              </w:tc>
            </w:tr>
            <w:tr w14:paraId="12309EE7">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F594495">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14:paraId="5EA8F0F4">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Режимы аускультации сердца и лёгких; не менее 3 уровней регулировки громкости</w:t>
                  </w:r>
                </w:p>
              </w:tc>
            </w:tr>
            <w:tr w14:paraId="03C7D3F8">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6E4CCAB9">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14:paraId="130A0E00">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 10 до 2 000 Гц</w:t>
                  </w:r>
                </w:p>
              </w:tc>
            </w:tr>
            <w:tr w14:paraId="13C55760">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41B8CE3">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14:paraId="4FF8B85B">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Цифровое усиление, подавление фонового шума, запись и воспроизведение</w:t>
                  </w:r>
                </w:p>
              </w:tc>
            </w:tr>
            <w:tr w14:paraId="11C3EAC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4B5A8F6">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14:paraId="181FA9DB">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14:paraId="303DF7CE">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412EBA6">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04E715DA">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Bluetooth версии 4.0 или выше; автоматическая передача записи на планшет</w:t>
                  </w:r>
                </w:p>
              </w:tc>
            </w:tr>
            <w:tr w14:paraId="2798B4AC">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545868BC">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5EB6D866">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60 часов; время полной зарядки не более 4 часов</w:t>
                  </w:r>
                </w:p>
              </w:tc>
            </w:tr>
            <w:tr w14:paraId="2A75EFD3">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857E860">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14:paraId="4F7A8610">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ниже IP22</w:t>
                  </w:r>
                </w:p>
              </w:tc>
            </w:tr>
            <w:tr w14:paraId="606F6DBE">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097E4D98">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4D736ED3">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Ø60 × 80 мм</w:t>
                  </w:r>
                </w:p>
              </w:tc>
            </w:tr>
            <w:tr w14:paraId="1F8BB20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DD1EABD">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692730E5">
                  <w:pPr>
                    <w:spacing w:after="0"/>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160 г</w:t>
                  </w:r>
                </w:p>
              </w:tc>
            </w:tr>
          </w:tbl>
          <w:p w14:paraId="4D39CBE0">
            <w:pPr>
              <w:spacing w:after="0" w:line="240" w:lineRule="auto"/>
              <w:ind w:firstLine="33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Запись аускультации должна автоматически сохраняться в карточке обследуемого и воспроизводиться на планшете и в веб-кабинете врача без потери клинически значимого качества.</w:t>
            </w:r>
          </w:p>
        </w:tc>
      </w:tr>
      <w:tr w14:paraId="08E14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2121B102">
            <w:pPr>
              <w:spacing w:after="0" w:line="240" w:lineRule="auto"/>
              <w:ind w:firstLine="2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Пульсоксиметр цифровой</w:t>
            </w:r>
          </w:p>
        </w:tc>
        <w:tc>
          <w:tcPr>
            <w:tcW w:w="7260" w:type="dxa"/>
            <w:tcMar>
              <w:top w:w="80" w:type="dxa"/>
              <w:left w:w="120" w:type="dxa"/>
              <w:bottom w:w="80" w:type="dxa"/>
              <w:right w:w="120" w:type="dxa"/>
            </w:tcMar>
            <w:vAlign w:val="center"/>
          </w:tcPr>
          <w:p w14:paraId="24905E83">
            <w:pPr>
              <w:spacing w:after="0" w:line="240" w:lineRule="auto"/>
              <w:ind w:firstLine="333"/>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Назначение</w:t>
            </w:r>
            <w:r>
              <w:rPr>
                <w:rFonts w:ascii="Times New Roman" w:hAnsi="Times New Roman" w:eastAsia="Times New Roman" w:cs="Times New Roman"/>
                <w:color w:val="000000"/>
                <w:sz w:val="20"/>
                <w:szCs w:val="20"/>
              </w:rPr>
              <w:t>. Неинвазивное экспресс-измерение насыщения артериальной крови кислородом и частоты пульса.</w:t>
            </w:r>
          </w:p>
          <w:p w14:paraId="518697B0">
            <w:pPr>
              <w:spacing w:after="0" w:line="240" w:lineRule="auto"/>
              <w:ind w:firstLine="333"/>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Принцип работы</w:t>
            </w:r>
            <w:r>
              <w:rPr>
                <w:rFonts w:ascii="Times New Roman" w:hAnsi="Times New Roman" w:eastAsia="Times New Roman" w:cs="Times New Roman"/>
                <w:color w:val="000000"/>
                <w:sz w:val="20"/>
                <w:szCs w:val="20"/>
              </w:rPr>
              <w:t>. Красный и инфракрасный свет проходят через ткань пальца. По различию поглощения света пульсирующей кровью прибор фотоплетизмографическим методом рассчитывает SpO₂ и частоту пульса и выводит значения на собственный дисплей.</w:t>
            </w:r>
          </w:p>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1741"/>
              <w:gridCol w:w="5103"/>
            </w:tblGrid>
            <w:tr w14:paraId="24D59864">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1741" w:type="dxa"/>
                  <w:shd w:val="clear" w:color="auto" w:fill="FFFFFF"/>
                  <w:tcMar>
                    <w:top w:w="80" w:type="dxa"/>
                    <w:left w:w="120" w:type="dxa"/>
                    <w:bottom w:w="80" w:type="dxa"/>
                    <w:right w:w="120" w:type="dxa"/>
                  </w:tcMar>
                  <w:vAlign w:val="center"/>
                </w:tcPr>
                <w:p w14:paraId="33761B72">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507BC74">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Требование</w:t>
                  </w:r>
                </w:p>
              </w:tc>
            </w:tr>
            <w:tr w14:paraId="0ABE97E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143FD89">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14:paraId="18623602">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Насыщение крови кислородом SpO₂, частота пульса и индикация качества сигнала или перфузии</w:t>
                  </w:r>
                </w:p>
              </w:tc>
            </w:tr>
            <w:tr w14:paraId="3750A19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4CD68D6D">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Диапазон SpO₂</w:t>
                  </w:r>
                </w:p>
              </w:tc>
              <w:tc>
                <w:tcPr>
                  <w:tcW w:w="5103" w:type="dxa"/>
                  <w:shd w:val="clear" w:color="auto" w:fill="FFFFFF"/>
                  <w:tcMar>
                    <w:top w:w="80" w:type="dxa"/>
                    <w:left w:w="120" w:type="dxa"/>
                    <w:bottom w:w="80" w:type="dxa"/>
                    <w:right w:w="120" w:type="dxa"/>
                  </w:tcMar>
                  <w:vAlign w:val="center"/>
                </w:tcPr>
                <w:p w14:paraId="5DFC68E2">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 0 до 100 %; нормируемый диапазон точности — от 70 до 100 %</w:t>
                  </w:r>
                </w:p>
              </w:tc>
            </w:tr>
            <w:tr w14:paraId="572FAE5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B53B828">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Точность SpO₂</w:t>
                  </w:r>
                </w:p>
              </w:tc>
              <w:tc>
                <w:tcPr>
                  <w:tcW w:w="5103" w:type="dxa"/>
                  <w:shd w:val="clear" w:color="auto" w:fill="FFFFFF"/>
                  <w:tcMar>
                    <w:top w:w="80" w:type="dxa"/>
                    <w:left w:w="120" w:type="dxa"/>
                    <w:bottom w:w="80" w:type="dxa"/>
                    <w:right w:w="120" w:type="dxa"/>
                  </w:tcMar>
                  <w:vAlign w:val="center"/>
                </w:tcPr>
                <w:p w14:paraId="45CCA701">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14:paraId="5E3D5C21">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5B407621">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14:paraId="5300BC1C">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 25 до 250 уд/мин</w:t>
                  </w:r>
                </w:p>
              </w:tc>
            </w:tr>
            <w:tr w14:paraId="7E0086CF">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730455A5">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14:paraId="08569E38">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Предел допускаемой абсолютной погрешности — не более ±2 уд/мин; при движении — не более ±4 уд/мин</w:t>
                  </w:r>
                </w:p>
              </w:tc>
            </w:tr>
            <w:tr w14:paraId="465D18DA">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7540A370">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14:paraId="4BCB03C9">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4 секунд при неподвижном пациенте и устойчивом сигнале</w:t>
                  </w:r>
                </w:p>
              </w:tc>
            </w:tr>
            <w:tr w14:paraId="587C034E">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7C8F2D12">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14:paraId="1BC10F7E">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Встроенный дисплей с крупной индикацией SpO₂, частоты пульса, качества сигнала и уровня заряда</w:t>
                  </w:r>
                </w:p>
              </w:tc>
            </w:tr>
            <w:tr w14:paraId="6A1EB777">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8979976">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5AE6FA57">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Bluetooth с автоматической передачей измеренных значений на планшет</w:t>
                  </w:r>
                </w:p>
              </w:tc>
            </w:tr>
            <w:tr w14:paraId="248A4C4E">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7714498">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F61586F">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65 × 40 × 40 мм</w:t>
                  </w:r>
                </w:p>
              </w:tc>
            </w:tr>
            <w:tr w14:paraId="13A9A48D">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689E05BB">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114EB60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30 часов непрерывного мониторинга</w:t>
                  </w:r>
                </w:p>
              </w:tc>
            </w:tr>
          </w:tbl>
          <w:p w14:paraId="6E1A7AAE">
            <w:pPr>
              <w:spacing w:after="0" w:line="240" w:lineRule="auto"/>
              <w:ind w:firstLine="333"/>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rPr>
              <w:t>Измеренные значения SpO₂ и частоты пульса должны автоматически передаваться по Bluetooth на планшет и сохраняться в карточке обследуемого.</w:t>
            </w:r>
          </w:p>
        </w:tc>
      </w:tr>
      <w:tr w14:paraId="78EBF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466D2E53">
            <w:pPr>
              <w:spacing w:after="0" w:line="240" w:lineRule="auto"/>
              <w:ind w:firstLine="2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14:paraId="65970F80">
            <w:pPr>
              <w:spacing w:after="0" w:line="240" w:lineRule="auto"/>
              <w:ind w:firstLine="333"/>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Назначение</w:t>
            </w:r>
            <w:r>
              <w:rPr>
                <w:rFonts w:ascii="Times New Roman" w:hAnsi="Times New Roman" w:eastAsia="Times New Roman" w:cs="Times New Roman"/>
                <w:color w:val="000000"/>
                <w:sz w:val="20"/>
                <w:szCs w:val="20"/>
              </w:rPr>
              <w:t>. Измерение роста и массы тела обследуемого с отображением результатов на встроенном экране.</w:t>
            </w:r>
          </w:p>
          <w:p w14:paraId="6F3A8A2C">
            <w:pPr>
              <w:spacing w:after="0" w:line="240" w:lineRule="auto"/>
              <w:ind w:firstLine="333"/>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Принцип работы.</w:t>
            </w:r>
            <w:r>
              <w:rPr>
                <w:rFonts w:ascii="Times New Roman" w:hAnsi="Times New Roman" w:eastAsia="Times New Roman" w:cs="Times New Roman"/>
                <w:color w:val="000000"/>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их в карточку обследуемого на планшете. Индекс массы тела рассчитывается только программным обеспечением планшета по формуле ИМТ = масса (кг) / рост² (м²).</w:t>
            </w:r>
          </w:p>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1741"/>
              <w:gridCol w:w="5103"/>
            </w:tblGrid>
            <w:tr w14:paraId="7C68A472">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1741" w:type="dxa"/>
                  <w:shd w:val="clear" w:color="auto" w:fill="FFFFFF"/>
                  <w:tcMar>
                    <w:top w:w="80" w:type="dxa"/>
                    <w:left w:w="120" w:type="dxa"/>
                    <w:bottom w:w="80" w:type="dxa"/>
                    <w:right w:w="120" w:type="dxa"/>
                  </w:tcMar>
                  <w:vAlign w:val="center"/>
                </w:tcPr>
                <w:p w14:paraId="33D3B0AC">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B2D8588">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Требование</w:t>
                  </w:r>
                </w:p>
              </w:tc>
            </w:tr>
            <w:tr w14:paraId="27024232">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557994C9">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4DC819">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14:paraId="268633A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CB24D36">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14:paraId="7F48CA4F">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 80 до 210 см или шире</w:t>
                  </w:r>
                </w:p>
              </w:tc>
            </w:tr>
            <w:tr w14:paraId="350E4BCF">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057890B9">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14:paraId="7D54B0C4">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0,5 см или меньше</w:t>
                  </w:r>
                </w:p>
              </w:tc>
            </w:tr>
            <w:tr w14:paraId="302D68CB">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007F20BD">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14:paraId="2817B2A7">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Предел допускаемой абсолютной погрешности — не более ±0,5 см</w:t>
                  </w:r>
                </w:p>
              </w:tc>
            </w:tr>
            <w:tr w14:paraId="6F800325">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5919F498">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14:paraId="53C9604B">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 5 до 200 кг или шире</w:t>
                  </w:r>
                </w:p>
              </w:tc>
            </w:tr>
            <w:tr w14:paraId="3ED98F8C">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D05A3D8">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14:paraId="7C6B639E">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0,1 кг или меньше</w:t>
                  </w:r>
                </w:p>
              </w:tc>
            </w:tr>
            <w:tr w14:paraId="39BC8D6A">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B64BE1C">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14:paraId="22DE0041">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14:paraId="57D8D5B2">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189E025">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14:paraId="7168AD9A">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Раздельное или последовательное отображение роста и массы на встроенном экране</w:t>
                  </w:r>
                </w:p>
              </w:tc>
            </w:tr>
            <w:tr w14:paraId="194051A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48AE51B">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4F8415AC">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требуется; прибор работает автономно, показания вводятся в карточку обследуемого вручную</w:t>
                  </w:r>
                </w:p>
              </w:tc>
            </w:tr>
            <w:tr w14:paraId="11DCA66D">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538982A1">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14:paraId="5D654A34">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Автоматически на планшете после ввода роста и массы; результат сохраняется в карточке обследуемого</w:t>
                  </w:r>
                </w:p>
              </w:tc>
            </w:tr>
            <w:tr w14:paraId="3BF77B0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58E96EE6">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E505C74">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600 × 600 × 2 300 мм в рабочем положении</w:t>
                  </w:r>
                </w:p>
              </w:tc>
            </w:tr>
            <w:tr w14:paraId="7A44A1D7">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0376774">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0888918E">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 сети 220 В, 50 Гц и/или от встроенного либо сменного источника питания</w:t>
                  </w:r>
                </w:p>
              </w:tc>
            </w:tr>
          </w:tbl>
          <w:p w14:paraId="3601AA38">
            <w:pPr>
              <w:spacing w:after="0" w:line="240" w:lineRule="auto"/>
              <w:ind w:firstLine="333"/>
              <w:jc w:val="both"/>
              <w:rPr>
                <w:rFonts w:ascii="Times New Roman" w:hAnsi="Times New Roman" w:eastAsia="Times New Roman" w:cs="Times New Roman"/>
                <w:color w:val="000000"/>
                <w:sz w:val="20"/>
                <w:szCs w:val="20"/>
              </w:rPr>
            </w:pPr>
          </w:p>
        </w:tc>
      </w:tr>
      <w:tr w14:paraId="1BF18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1045E2F5">
            <w:pPr>
              <w:spacing w:after="0" w:line="240" w:lineRule="auto"/>
              <w:ind w:firstLine="2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Цифровой отоскоп</w:t>
            </w:r>
          </w:p>
        </w:tc>
        <w:tc>
          <w:tcPr>
            <w:tcW w:w="7260" w:type="dxa"/>
            <w:tcMar>
              <w:top w:w="80" w:type="dxa"/>
              <w:left w:w="120" w:type="dxa"/>
              <w:bottom w:w="80" w:type="dxa"/>
              <w:right w:w="120" w:type="dxa"/>
            </w:tcMar>
            <w:vAlign w:val="center"/>
          </w:tcPr>
          <w:p w14:paraId="64208A2C">
            <w:pPr>
              <w:spacing w:after="0" w:line="240" w:lineRule="auto"/>
              <w:ind w:firstLine="191"/>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Назначение</w:t>
            </w:r>
            <w:r>
              <w:rPr>
                <w:rFonts w:ascii="Times New Roman" w:hAnsi="Times New Roman" w:eastAsia="Times New Roman" w:cs="Times New Roman"/>
                <w:color w:val="000000"/>
                <w:sz w:val="20"/>
                <w:szCs w:val="20"/>
              </w:rPr>
              <w:t>. Визуальный осмотр наружного слухового прохода и барабанной перепонки с передачей изображения на планшет.</w:t>
            </w:r>
          </w:p>
          <w:p w14:paraId="4F61AA87">
            <w:pPr>
              <w:spacing w:after="0" w:line="240" w:lineRule="auto"/>
              <w:ind w:firstLine="191"/>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 xml:space="preserve">Принцип работы. </w:t>
            </w:r>
            <w:r>
              <w:rPr>
                <w:rFonts w:ascii="Times New Roman" w:hAnsi="Times New Roman" w:eastAsia="Times New Roman" w:cs="Times New Roman"/>
                <w:color w:val="000000"/>
                <w:sz w:val="20"/>
                <w:szCs w:val="20"/>
              </w:rPr>
              <w:t>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обследуемого. Запись видео не предусмотрена.</w:t>
            </w:r>
          </w:p>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1741"/>
              <w:gridCol w:w="5103"/>
            </w:tblGrid>
            <w:tr w14:paraId="40CDE42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1741" w:type="dxa"/>
                  <w:shd w:val="clear" w:color="auto" w:fill="FFFFFF"/>
                  <w:tcMar>
                    <w:top w:w="80" w:type="dxa"/>
                    <w:left w:w="120" w:type="dxa"/>
                    <w:bottom w:w="80" w:type="dxa"/>
                    <w:right w:w="120" w:type="dxa"/>
                  </w:tcMar>
                  <w:vAlign w:val="center"/>
                </w:tcPr>
                <w:p w14:paraId="70D7D023">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258B96A">
                  <w:pPr>
                    <w:spacing w:after="0" w:line="240" w:lineRule="auto"/>
                    <w:ind w:firstLine="3"/>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Требование</w:t>
                  </w:r>
                </w:p>
              </w:tc>
            </w:tr>
            <w:tr w14:paraId="52A456A7">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5B6CBC4">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14:paraId="40B3F3FF">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Ручной цифровой отоскоп с многоразовой камерой и сменными ушными воронками</w:t>
                  </w:r>
                </w:p>
              </w:tc>
            </w:tr>
            <w:tr w14:paraId="0500CEC2">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059D166B">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14:paraId="7671C0DD">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1 280 × 720 пикселей</w:t>
                  </w:r>
                </w:p>
              </w:tc>
            </w:tr>
            <w:tr w14:paraId="13B6DB5B">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0B088E52">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14:paraId="624888D9">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4,0 мм</w:t>
                  </w:r>
                </w:p>
              </w:tc>
            </w:tr>
            <w:tr w14:paraId="61FFF4EC">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6909E276">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Рабочая длина</w:t>
                  </w:r>
                </w:p>
              </w:tc>
              <w:tc>
                <w:tcPr>
                  <w:tcW w:w="5103" w:type="dxa"/>
                  <w:shd w:val="clear" w:color="auto" w:fill="FFFFFF"/>
                  <w:tcMar>
                    <w:top w:w="80" w:type="dxa"/>
                    <w:left w:w="120" w:type="dxa"/>
                    <w:bottom w:w="80" w:type="dxa"/>
                    <w:right w:w="120" w:type="dxa"/>
                  </w:tcMar>
                  <w:vAlign w:val="center"/>
                </w:tcPr>
                <w:p w14:paraId="3B41AFBF">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20 мм</w:t>
                  </w:r>
                </w:p>
              </w:tc>
            </w:tr>
            <w:tr w14:paraId="13D359AD">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363E6F7">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Поле зрения</w:t>
                  </w:r>
                </w:p>
              </w:tc>
              <w:tc>
                <w:tcPr>
                  <w:tcW w:w="5103" w:type="dxa"/>
                  <w:shd w:val="clear" w:color="auto" w:fill="FFFFFF"/>
                  <w:tcMar>
                    <w:top w:w="80" w:type="dxa"/>
                    <w:left w:w="120" w:type="dxa"/>
                    <w:bottom w:w="80" w:type="dxa"/>
                    <w:right w:w="120" w:type="dxa"/>
                  </w:tcMar>
                  <w:vAlign w:val="center"/>
                </w:tcPr>
                <w:p w14:paraId="1AA0546B">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120°</w:t>
                  </w:r>
                </w:p>
              </w:tc>
            </w:tr>
            <w:tr w14:paraId="53AFE9DF">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E23FC4B">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Подсветка</w:t>
                  </w:r>
                </w:p>
              </w:tc>
              <w:tc>
                <w:tcPr>
                  <w:tcW w:w="5103" w:type="dxa"/>
                  <w:shd w:val="clear" w:color="auto" w:fill="FFFFFF"/>
                  <w:tcMar>
                    <w:top w:w="80" w:type="dxa"/>
                    <w:left w:w="120" w:type="dxa"/>
                    <w:bottom w:w="80" w:type="dxa"/>
                    <w:right w:w="120" w:type="dxa"/>
                  </w:tcMar>
                  <w:vAlign w:val="center"/>
                </w:tcPr>
                <w:p w14:paraId="359296CC">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14:paraId="1B5F5525">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EAC0115">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14:paraId="47B239C7">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14:paraId="7A4090D1">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3523BB7">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14:paraId="74C9BC0F">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14:paraId="78C3EBB8">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A00AE6B">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14:paraId="27300887">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14:paraId="6296DD73">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0F36F964">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14:paraId="4B0A3B6F">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14:paraId="50BA7398">
            <w:pPr>
              <w:spacing w:after="0" w:line="240" w:lineRule="auto"/>
              <w:ind w:firstLine="191"/>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rPr>
              <w:t>Фотоснимки отоскопии должны сохраняться в карточке обследуемого на планшете и передаваться в веб-кабинет врача.</w:t>
            </w:r>
          </w:p>
        </w:tc>
      </w:tr>
      <w:tr w14:paraId="29D4B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1AE94E51">
            <w:pPr>
              <w:spacing w:after="0" w:line="240" w:lineRule="auto"/>
              <w:ind w:firstLine="2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14:paraId="036E3D77">
            <w:pPr>
              <w:spacing w:after="0" w:line="240" w:lineRule="auto"/>
              <w:ind w:firstLine="191"/>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b/>
                <w:bCs/>
                <w:color w:val="000000"/>
                <w:sz w:val="20"/>
                <w:szCs w:val="20"/>
              </w:rPr>
              <w:t>Назначение</w:t>
            </w:r>
            <w:r>
              <w:rPr>
                <w:rFonts w:ascii="Times New Roman" w:hAnsi="Times New Roman" w:eastAsia="Times New Roman" w:cs="Times New Roman"/>
                <w:color w:val="000000"/>
                <w:sz w:val="20"/>
                <w:szCs w:val="20"/>
              </w:rPr>
              <w:t>. Единая точка управления исследованиями на объекте: идентификация обследуемого, подключение приборов, ручной ввод показателей, локальный просмотр, связь с врачом и передача данных.</w:t>
            </w:r>
          </w:p>
          <w:p w14:paraId="3738AF02">
            <w:pPr>
              <w:spacing w:after="0" w:line="240" w:lineRule="auto"/>
              <w:ind w:firstLine="191"/>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ПЛАНШЕТ</w:t>
            </w:r>
          </w:p>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1741"/>
              <w:gridCol w:w="5103"/>
            </w:tblGrid>
            <w:tr w14:paraId="3291D4D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1741" w:type="dxa"/>
                  <w:shd w:val="clear" w:color="auto" w:fill="FFFFFF"/>
                  <w:tcMar>
                    <w:top w:w="80" w:type="dxa"/>
                    <w:left w:w="120" w:type="dxa"/>
                    <w:bottom w:w="80" w:type="dxa"/>
                    <w:right w:w="120" w:type="dxa"/>
                  </w:tcMar>
                  <w:vAlign w:val="center"/>
                </w:tcPr>
                <w:p w14:paraId="149EC316">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9AED0ED">
                  <w:pPr>
                    <w:spacing w:after="0" w:line="240" w:lineRule="auto"/>
                    <w:ind w:firstLine="3"/>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Требование</w:t>
                  </w:r>
                </w:p>
              </w:tc>
            </w:tr>
            <w:tr w14:paraId="60DD6D5C">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F9EED30">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14:paraId="2EFDFCF1">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Диагональ от 10,9 до 11,0 дюйма; IPS/In-cell или эквивалент; разрешение не менее 1 920 × 1 200 пикселей; ёмкостный мультитач</w:t>
                  </w:r>
                </w:p>
              </w:tc>
            </w:tr>
            <w:tr w14:paraId="7AEED0F0">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9B94B06">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14:paraId="447FEE89">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14:paraId="35584F7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6D278DB">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14:paraId="4373322A">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6 ГБ</w:t>
                  </w:r>
                </w:p>
              </w:tc>
            </w:tr>
            <w:tr w14:paraId="4CCAE01A">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7EDA31C">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14:paraId="12972DF6">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128 ГБ</w:t>
                  </w:r>
                </w:p>
              </w:tc>
            </w:tr>
            <w:tr w14:paraId="0D1BD27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E0425F5">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14:paraId="2030D9AF">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Мобильная операционная система на базе Android версии 14 или новее, совместимая с клиентским приложением комплекса</w:t>
                  </w:r>
                </w:p>
              </w:tc>
            </w:tr>
            <w:tr w14:paraId="2651CA43">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7F65C212">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14:paraId="7DD31822">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Wi-Fi 2,4/5 ГГц стандартов не ниже 802.11 a/b/g/n/ac; Bluetooth не ниже 5.0; 4G/LTE — при необходимости по условиям объекта</w:t>
                  </w:r>
                </w:p>
              </w:tc>
            </w:tr>
            <w:tr w14:paraId="66FB573B">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AC93433">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14:paraId="03E4436D">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Фронтальная камера не менее 5 Мп; основная камера не менее 8 Мп с автофокусом; встроенные микрофон и динамики</w:t>
                  </w:r>
                </w:p>
              </w:tc>
            </w:tr>
            <w:tr w14:paraId="4AA0FC0B">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534E59D5">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14:paraId="7FD933B1">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Ёмкость не менее 8 000 мА·ч; поддержка зарядки через USB Type-C и/или док-станцию</w:t>
                  </w:r>
                </w:p>
              </w:tc>
            </w:tr>
            <w:tr w14:paraId="274A1BA9">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1CF21DD2">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14:paraId="0F6EC361">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USB Type-C с поддержкой данных и OTG; контакты или интерфейс подключения док-станции</w:t>
                  </w:r>
                </w:p>
              </w:tc>
            </w:tr>
            <w:tr w14:paraId="2B74CBAB">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6113D771">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513CFAF8">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257 × 169 × 8 мм</w:t>
                  </w:r>
                </w:p>
              </w:tc>
            </w:tr>
            <w:tr w14:paraId="3ABE357D">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AB63537">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7B244D81">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550 г</w:t>
                  </w:r>
                </w:p>
              </w:tc>
            </w:tr>
            <w:tr w14:paraId="0164B152">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E16DE58">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Языки интерфейса</w:t>
                  </w:r>
                </w:p>
              </w:tc>
              <w:tc>
                <w:tcPr>
                  <w:tcW w:w="5103" w:type="dxa"/>
                  <w:shd w:val="clear" w:color="auto" w:fill="FFFFFF"/>
                  <w:tcMar>
                    <w:top w:w="80" w:type="dxa"/>
                    <w:left w:w="120" w:type="dxa"/>
                    <w:bottom w:w="80" w:type="dxa"/>
                    <w:right w:w="120" w:type="dxa"/>
                  </w:tcMar>
                  <w:vAlign w:val="center"/>
                </w:tcPr>
                <w:p w14:paraId="3E5C98F4">
                  <w:pPr>
                    <w:spacing w:after="0" w:line="240" w:lineRule="auto"/>
                    <w:ind w:firstLine="3"/>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Русский и казахский</w:t>
                  </w:r>
                </w:p>
              </w:tc>
            </w:tr>
          </w:tbl>
          <w:p w14:paraId="0EF340C1">
            <w:pPr>
              <w:spacing w:after="0" w:line="240" w:lineRule="auto"/>
              <w:ind w:firstLine="567"/>
              <w:jc w:val="both"/>
              <w:rPr>
                <w:rFonts w:ascii="Times New Roman" w:hAnsi="Times New Roman" w:eastAsia="Times New Roman" w:cs="Times New Roman"/>
                <w:b/>
                <w:bCs/>
                <w:color w:val="000000"/>
                <w:sz w:val="20"/>
                <w:szCs w:val="20"/>
              </w:rPr>
            </w:pPr>
          </w:p>
          <w:p w14:paraId="2507D4CD">
            <w:pPr>
              <w:spacing w:after="0" w:line="240" w:lineRule="auto"/>
              <w:ind w:firstLine="191"/>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ДОК-СТАНЦИЯ</w:t>
            </w:r>
          </w:p>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1741"/>
              <w:gridCol w:w="5103"/>
            </w:tblGrid>
            <w:tr w14:paraId="57C2F29B">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1741" w:type="dxa"/>
                  <w:shd w:val="clear" w:color="auto" w:fill="FFFFFF"/>
                  <w:tcMar>
                    <w:top w:w="80" w:type="dxa"/>
                    <w:left w:w="120" w:type="dxa"/>
                    <w:bottom w:w="80" w:type="dxa"/>
                    <w:right w:w="120" w:type="dxa"/>
                  </w:tcMar>
                  <w:vAlign w:val="center"/>
                </w:tcPr>
                <w:p w14:paraId="387B93A7">
                  <w:pPr>
                    <w:spacing w:after="0" w:line="240" w:lineRule="auto"/>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7DC4153">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Требование</w:t>
                  </w:r>
                </w:p>
              </w:tc>
            </w:tr>
            <w:tr w14:paraId="788D91EB">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6CE1FC0C">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8F4D19">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Устойчивая настольная конструкция с фиксацией планшета и зарядкой в установленном положении</w:t>
                  </w:r>
                </w:p>
              </w:tc>
            </w:tr>
            <w:tr w14:paraId="207B34F4">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6A23DC67">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7CCB5B51">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Вход постоянного тока 12 В / 3 А либо эквивалент; сетевой адаптер 220 В входит в комплект</w:t>
                  </w:r>
                </w:p>
              </w:tc>
            </w:tr>
            <w:tr w14:paraId="41A08AD0">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31AB384D">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14:paraId="109BBCA4">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14:paraId="02F29493">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46FA1FFC">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14:paraId="04A9D8E6">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14:paraId="37584AA0">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2F3A748A">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095A142">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300 × 200 × 100 мм без установленного планшета</w:t>
                  </w:r>
                </w:p>
              </w:tc>
            </w:tr>
            <w:tr w14:paraId="338F9840">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741" w:type="dxa"/>
                  <w:shd w:val="clear" w:color="auto" w:fill="FFFFFF"/>
                  <w:tcMar>
                    <w:top w:w="80" w:type="dxa"/>
                    <w:left w:w="120" w:type="dxa"/>
                    <w:bottom w:w="80" w:type="dxa"/>
                    <w:right w:w="120" w:type="dxa"/>
                  </w:tcMar>
                  <w:vAlign w:val="center"/>
                </w:tcPr>
                <w:p w14:paraId="5133BA76">
                  <w:pPr>
                    <w:spacing w:after="0" w:line="240" w:lineRule="auto"/>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14:paraId="48850EA4">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Док-станция, сетевой адаптер, силовой кабель и необходимые соединительные кабели</w:t>
                  </w:r>
                </w:p>
              </w:tc>
            </w:tr>
          </w:tbl>
          <w:p w14:paraId="26D08D98">
            <w:pPr>
              <w:spacing w:after="0" w:line="240" w:lineRule="auto"/>
              <w:ind w:firstLine="567"/>
              <w:jc w:val="both"/>
              <w:rPr>
                <w:rFonts w:ascii="Times New Roman" w:hAnsi="Times New Roman" w:eastAsia="Times New Roman" w:cs="Times New Roman"/>
                <w:color w:val="000000"/>
                <w:sz w:val="20"/>
                <w:szCs w:val="20"/>
                <w:lang w:val="ru-RU"/>
              </w:rPr>
            </w:pPr>
            <w:r>
              <w:rPr>
                <w:rFonts w:ascii="Times New Roman" w:hAnsi="Times New Roman" w:eastAsia="Times New Roman" w:cs="Times New Roman"/>
                <w:color w:val="000000"/>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14:paraId="1E467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60B67D0F">
            <w:pPr>
              <w:spacing w:after="0" w:line="240" w:lineRule="auto"/>
              <w:ind w:firstLine="22"/>
              <w:jc w:val="both"/>
              <w:rPr>
                <w:rFonts w:ascii="Times New Roman" w:hAnsi="Times New Roman" w:eastAsia="Times New Roman" w:cs="Times New Roman"/>
                <w:b/>
                <w:bCs/>
                <w:color w:val="000000"/>
                <w:sz w:val="20"/>
                <w:szCs w:val="20"/>
                <w:lang w:val="ru-RU"/>
              </w:rPr>
            </w:pPr>
            <w:r>
              <w:rPr>
                <w:rFonts w:ascii="Times New Roman" w:hAnsi="Times New Roman" w:eastAsia="Times New Roman" w:cs="Times New Roman"/>
                <w:b/>
                <w:bCs/>
                <w:color w:val="000000"/>
                <w:sz w:val="20"/>
                <w:szCs w:val="20"/>
                <w:lang w:val="ru-RU"/>
              </w:rPr>
              <w:t>Веб-кабинет врача</w:t>
            </w:r>
          </w:p>
        </w:tc>
        <w:tc>
          <w:tcPr>
            <w:tcW w:w="7260" w:type="dxa"/>
            <w:tcMar>
              <w:top w:w="80" w:type="dxa"/>
              <w:left w:w="120" w:type="dxa"/>
              <w:bottom w:w="80" w:type="dxa"/>
              <w:right w:w="120" w:type="dxa"/>
            </w:tcMar>
            <w:vAlign w:val="center"/>
          </w:tcPr>
          <w:p w14:paraId="53E886A2">
            <w:pPr>
              <w:spacing w:after="0" w:line="240" w:lineRule="auto"/>
              <w:ind w:firstLine="191"/>
              <w:jc w:val="both"/>
              <w:rPr>
                <w:rFonts w:ascii="Times New Roman" w:hAnsi="Times New Roman" w:eastAsia="Times New Roman" w:cs="Times New Roman"/>
                <w:color w:val="000000"/>
                <w:sz w:val="20"/>
                <w:szCs w:val="20"/>
              </w:rPr>
            </w:pPr>
            <w:r>
              <w:rPr>
                <w:rFonts w:ascii="Times New Roman" w:hAnsi="Times New Roman" w:eastAsia="Times New Roman" w:cs="Times New Roman"/>
                <w:b/>
                <w:bCs/>
                <w:color w:val="000000"/>
                <w:sz w:val="20"/>
                <w:szCs w:val="20"/>
              </w:rPr>
              <w:t>Назначение</w:t>
            </w:r>
            <w:r>
              <w:rPr>
                <w:rFonts w:ascii="Times New Roman" w:hAnsi="Times New Roman" w:eastAsia="Times New Roman" w:cs="Times New Roman"/>
                <w:color w:val="000000"/>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14:paraId="1A81DB0E">
            <w:pPr>
              <w:spacing w:after="0" w:line="240" w:lineRule="auto"/>
              <w:ind w:firstLine="191"/>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ФУНКЦИОНАЛЬНЫЕ ТРЕБОВАНИЯ</w:t>
            </w:r>
          </w:p>
          <w:p w14:paraId="02BD78A3">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защищённая авторизация, разграничение прав доступа по ролям и журнал действий пользователей;</w:t>
            </w:r>
          </w:p>
          <w:p w14:paraId="39C9C2CE">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поиск обследуемого и просмотр хронологии обследований;</w:t>
            </w:r>
          </w:p>
          <w:p w14:paraId="0C433E85">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отображение 12-отведённой ЭКГ, масштабирование сигнала, просмотр измерений и сформированного отчёта;</w:t>
            </w:r>
          </w:p>
          <w:p w14:paraId="0AC22B18">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прослушивание записей цифровой аускультации и просмотр фонокардиограммы;</w:t>
            </w:r>
          </w:p>
          <w:p w14:paraId="55FBE2BA">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просмотр фотографий отоскопии;</w:t>
            </w:r>
          </w:p>
          <w:p w14:paraId="3B35DD73">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отображение SpO₂, частоты пульса, роста, массы тела и автоматически рассчитанного ИМТ;</w:t>
            </w:r>
          </w:p>
          <w:p w14:paraId="1C7D637D">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аудио- и видеосвязь с медицинским работником на объекте при наличии канала связи;</w:t>
            </w:r>
          </w:p>
          <w:p w14:paraId="115E7CAB">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создание, редактирование и сохранение заключения, рекомендаций и статуса обследования;</w:t>
            </w:r>
          </w:p>
          <w:p w14:paraId="70E15FD2">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печать и экспорт итогового документа не менее чем в формате PDF;</w:t>
            </w:r>
          </w:p>
          <w:p w14:paraId="1125E1DE">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работа в актуальных версиях браузеров на настольных компьютерах без установки специализированного ПО;</w:t>
            </w:r>
          </w:p>
          <w:p w14:paraId="7556CEBF">
            <w:pPr>
              <w:numPr>
                <w:ilvl w:val="0"/>
                <w:numId w:val="2"/>
              </w:numPr>
              <w:tabs>
                <w:tab w:val="left" w:pos="475"/>
              </w:tabs>
              <w:spacing w:after="0" w:line="240" w:lineRule="auto"/>
              <w:ind w:left="191" w:firstLine="0"/>
              <w:jc w:val="both"/>
              <w:rPr>
                <w:rFonts w:ascii="Times New Roman" w:hAnsi="Times New Roman" w:cs="Times New Roman"/>
                <w:color w:val="000000"/>
                <w:sz w:val="20"/>
                <w:szCs w:val="20"/>
              </w:rPr>
            </w:pPr>
            <w:r>
              <w:rPr>
                <w:rFonts w:ascii="Times New Roman" w:hAnsi="Times New Roman" w:eastAsia="Times New Roman" w:cs="Times New Roman"/>
                <w:color w:val="000000"/>
                <w:sz w:val="20"/>
                <w:szCs w:val="20"/>
              </w:rPr>
              <w:t>русский и казахский языки интерфейса.</w:t>
            </w:r>
          </w:p>
        </w:tc>
      </w:tr>
      <w:tr w14:paraId="02826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0F92D99C">
            <w:pPr>
              <w:spacing w:after="0" w:line="240" w:lineRule="auto"/>
              <w:ind w:firstLine="2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Интеграция и маршрутизация данных</w:t>
            </w:r>
          </w:p>
        </w:tc>
        <w:tc>
          <w:tcPr>
            <w:tcW w:w="7260" w:type="dxa"/>
            <w:tcMar>
              <w:top w:w="80" w:type="dxa"/>
              <w:left w:w="120" w:type="dxa"/>
              <w:bottom w:w="80" w:type="dxa"/>
              <w:right w:w="120" w:type="dxa"/>
            </w:tcMar>
            <w:vAlign w:val="center"/>
          </w:tcPr>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1883"/>
              <w:gridCol w:w="1417"/>
              <w:gridCol w:w="1560"/>
              <w:gridCol w:w="1984"/>
            </w:tblGrid>
            <w:tr w14:paraId="32E2ECBC">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1883" w:type="dxa"/>
                  <w:shd w:val="clear" w:color="auto" w:fill="FFFFFF"/>
                  <w:tcMar>
                    <w:top w:w="80" w:type="dxa"/>
                    <w:left w:w="120" w:type="dxa"/>
                    <w:bottom w:w="80" w:type="dxa"/>
                    <w:right w:w="120" w:type="dxa"/>
                  </w:tcMar>
                  <w:vAlign w:val="center"/>
                </w:tcPr>
                <w:p w14:paraId="0FB2EA93">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14:paraId="5DDDC605">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14:paraId="200285A2">
                  <w:pPr>
                    <w:spacing w:after="0" w:line="240" w:lineRule="auto"/>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14:paraId="1BCD6D33">
                  <w:pPr>
                    <w:spacing w:after="0" w:line="240" w:lineRule="auto"/>
                    <w:ind w:firstLine="1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Данные в карточке</w:t>
                  </w:r>
                </w:p>
              </w:tc>
            </w:tr>
            <w:tr w14:paraId="135AE944">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46A0AC68">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ЭКГ</w:t>
                  </w:r>
                </w:p>
              </w:tc>
              <w:tc>
                <w:tcPr>
                  <w:tcW w:w="1417" w:type="dxa"/>
                  <w:shd w:val="clear" w:color="auto" w:fill="FFFFFF"/>
                  <w:tcMar>
                    <w:top w:w="80" w:type="dxa"/>
                    <w:left w:w="120" w:type="dxa"/>
                    <w:bottom w:w="80" w:type="dxa"/>
                    <w:right w:w="120" w:type="dxa"/>
                  </w:tcMar>
                  <w:vAlign w:val="center"/>
                </w:tcPr>
                <w:p w14:paraId="1D02EFE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14:paraId="14B9DD11">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3962837B">
                  <w:pPr>
                    <w:spacing w:after="0" w:line="240" w:lineRule="auto"/>
                    <w:ind w:firstLine="12"/>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Кривые 12 отведений, измерения, отчёт</w:t>
                  </w:r>
                </w:p>
              </w:tc>
            </w:tr>
            <w:tr w14:paraId="3BA55CE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21B3988B">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Стетофонендоскоп</w:t>
                  </w:r>
                </w:p>
              </w:tc>
              <w:tc>
                <w:tcPr>
                  <w:tcW w:w="1417" w:type="dxa"/>
                  <w:shd w:val="clear" w:color="auto" w:fill="FFFFFF"/>
                  <w:tcMar>
                    <w:top w:w="80" w:type="dxa"/>
                    <w:left w:w="120" w:type="dxa"/>
                    <w:bottom w:w="80" w:type="dxa"/>
                    <w:right w:w="120" w:type="dxa"/>
                  </w:tcMar>
                  <w:vAlign w:val="center"/>
                </w:tcPr>
                <w:p w14:paraId="01EFC0E0">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65C70393">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1EE11312">
                  <w:pPr>
                    <w:spacing w:after="0" w:line="240" w:lineRule="auto"/>
                    <w:ind w:firstLine="12"/>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Аудиозапись, фонокардиограмма, метаданные</w:t>
                  </w:r>
                </w:p>
              </w:tc>
            </w:tr>
            <w:tr w14:paraId="4B5A99DF">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51E9C8B5">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14:paraId="10C5A9D7">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0A1147AB">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53F72531">
                  <w:pPr>
                    <w:spacing w:after="0" w:line="240" w:lineRule="auto"/>
                    <w:ind w:firstLine="12"/>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SpO₂, частота пульса</w:t>
                  </w:r>
                </w:p>
              </w:tc>
            </w:tr>
            <w:tr w14:paraId="487062C7">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1883" w:type="dxa"/>
                  <w:shd w:val="clear" w:color="auto" w:fill="FFFFFF"/>
                  <w:tcMar>
                    <w:top w:w="80" w:type="dxa"/>
                    <w:left w:w="120" w:type="dxa"/>
                    <w:bottom w:w="80" w:type="dxa"/>
                    <w:right w:w="120" w:type="dxa"/>
                  </w:tcMar>
                  <w:vAlign w:val="center"/>
                </w:tcPr>
                <w:p w14:paraId="6DCDEE61">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14:paraId="103EEE6F">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14:paraId="594DE114">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14:paraId="1BC0A46B">
                  <w:pPr>
                    <w:spacing w:after="0" w:line="240" w:lineRule="auto"/>
                    <w:ind w:firstLine="12"/>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Рост, масса; ИМТ рассчитывается на планшете</w:t>
                  </w:r>
                </w:p>
              </w:tc>
            </w:tr>
            <w:tr w14:paraId="3019FE63">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Height w:val="136" w:hRule="atLeast"/>
              </w:trPr>
              <w:tc>
                <w:tcPr>
                  <w:tcW w:w="1883" w:type="dxa"/>
                  <w:shd w:val="clear" w:color="auto" w:fill="FFFFFF"/>
                  <w:tcMar>
                    <w:top w:w="80" w:type="dxa"/>
                    <w:left w:w="120" w:type="dxa"/>
                    <w:bottom w:w="80" w:type="dxa"/>
                    <w:right w:w="120" w:type="dxa"/>
                  </w:tcMar>
                  <w:vAlign w:val="center"/>
                </w:tcPr>
                <w:p w14:paraId="1A8A5831">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14:paraId="486618DB">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14:paraId="0FD46739">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6288AB21">
                  <w:pPr>
                    <w:spacing w:after="0" w:line="240" w:lineRule="auto"/>
                    <w:ind w:firstLine="12"/>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Фотоснимки наружного слухового прохода и барабанной перепонки</w:t>
                  </w:r>
                </w:p>
              </w:tc>
            </w:tr>
          </w:tbl>
          <w:p w14:paraId="7040D6EE">
            <w:pPr>
              <w:spacing w:after="0" w:line="240" w:lineRule="auto"/>
              <w:ind w:firstLine="333"/>
              <w:jc w:val="both"/>
              <w:rPr>
                <w:rFonts w:ascii="Times New Roman" w:hAnsi="Times New Roman" w:eastAsia="Times New Roman" w:cs="Times New Roman"/>
                <w:color w:val="000000"/>
                <w:sz w:val="20"/>
                <w:szCs w:val="20"/>
              </w:rPr>
            </w:pPr>
          </w:p>
        </w:tc>
      </w:tr>
      <w:tr w14:paraId="78D16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00" w:type="dxa"/>
            <w:tcMar>
              <w:top w:w="80" w:type="dxa"/>
              <w:left w:w="120" w:type="dxa"/>
              <w:bottom w:w="80" w:type="dxa"/>
              <w:right w:w="120" w:type="dxa"/>
            </w:tcMar>
            <w:vAlign w:val="center"/>
          </w:tcPr>
          <w:p w14:paraId="5FAE36D0">
            <w:pPr>
              <w:spacing w:after="0" w:line="240" w:lineRule="auto"/>
              <w:ind w:firstLine="22"/>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Сводные габаритные требования</w:t>
            </w:r>
          </w:p>
        </w:tc>
        <w:tc>
          <w:tcPr>
            <w:tcW w:w="7260" w:type="dxa"/>
            <w:tcMar>
              <w:top w:w="80" w:type="dxa"/>
              <w:left w:w="120" w:type="dxa"/>
              <w:bottom w:w="80" w:type="dxa"/>
              <w:right w:w="120" w:type="dxa"/>
            </w:tcMar>
            <w:vAlign w:val="center"/>
          </w:tcPr>
          <w:tbl>
            <w:tblPr>
              <w:tblStyle w:val="9"/>
              <w:tblW w:w="6844" w:type="dxa"/>
              <w:tblInd w:w="0" w:type="dxa"/>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Layout w:type="fixed"/>
              <w:tblCellMar>
                <w:top w:w="0" w:type="dxa"/>
                <w:left w:w="108" w:type="dxa"/>
                <w:bottom w:w="0" w:type="dxa"/>
                <w:right w:w="108" w:type="dxa"/>
              </w:tblCellMar>
            </w:tblPr>
            <w:tblGrid>
              <w:gridCol w:w="2167"/>
              <w:gridCol w:w="4677"/>
            </w:tblGrid>
            <w:tr w14:paraId="637E37F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tblHeader/>
              </w:trPr>
              <w:tc>
                <w:tcPr>
                  <w:tcW w:w="2167" w:type="dxa"/>
                  <w:shd w:val="clear" w:color="auto" w:fill="FFFFFF"/>
                  <w:tcMar>
                    <w:top w:w="80" w:type="dxa"/>
                    <w:left w:w="120" w:type="dxa"/>
                    <w:bottom w:w="80" w:type="dxa"/>
                    <w:right w:w="120" w:type="dxa"/>
                  </w:tcMar>
                  <w:vAlign w:val="center"/>
                </w:tcPr>
                <w:p w14:paraId="3979A4D4">
                  <w:pPr>
                    <w:spacing w:after="0"/>
                    <w:ind w:firstLine="1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14:paraId="0AB52CA4">
                  <w:pPr>
                    <w:spacing w:after="0"/>
                    <w:jc w:val="both"/>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Требование</w:t>
                  </w:r>
                </w:p>
              </w:tc>
            </w:tr>
            <w:tr w14:paraId="70731CF0">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2167" w:type="dxa"/>
                  <w:shd w:val="clear" w:color="auto" w:fill="FFFFFF"/>
                  <w:tcMar>
                    <w:top w:w="80" w:type="dxa"/>
                    <w:left w:w="120" w:type="dxa"/>
                    <w:bottom w:w="80" w:type="dxa"/>
                    <w:right w:w="120" w:type="dxa"/>
                  </w:tcMar>
                  <w:vAlign w:val="center"/>
                </w:tcPr>
                <w:p w14:paraId="7C35D4E5">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14:paraId="3835510C">
                  <w:pPr>
                    <w:spacing w:after="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130 × 70 × 25 мм</w:t>
                  </w:r>
                </w:p>
              </w:tc>
            </w:tr>
            <w:tr w14:paraId="53362DF4">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2167" w:type="dxa"/>
                  <w:shd w:val="clear" w:color="auto" w:fill="FFFFFF"/>
                  <w:tcMar>
                    <w:top w:w="80" w:type="dxa"/>
                    <w:left w:w="120" w:type="dxa"/>
                    <w:bottom w:w="80" w:type="dxa"/>
                    <w:right w:w="120" w:type="dxa"/>
                  </w:tcMar>
                  <w:vAlign w:val="center"/>
                </w:tcPr>
                <w:p w14:paraId="0B2A0C64">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Цифровой стетофонендоскоп</w:t>
                  </w:r>
                </w:p>
              </w:tc>
              <w:tc>
                <w:tcPr>
                  <w:tcW w:w="4677" w:type="dxa"/>
                  <w:shd w:val="clear" w:color="auto" w:fill="FFFFFF"/>
                  <w:tcMar>
                    <w:top w:w="80" w:type="dxa"/>
                    <w:left w:w="120" w:type="dxa"/>
                    <w:bottom w:w="80" w:type="dxa"/>
                    <w:right w:w="120" w:type="dxa"/>
                  </w:tcMar>
                  <w:vAlign w:val="center"/>
                </w:tcPr>
                <w:p w14:paraId="672A0CB3">
                  <w:pPr>
                    <w:spacing w:after="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Ø60 × 80 мм</w:t>
                  </w:r>
                </w:p>
              </w:tc>
            </w:tr>
            <w:tr w14:paraId="44B1EC4E">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2167" w:type="dxa"/>
                  <w:shd w:val="clear" w:color="auto" w:fill="FFFFFF"/>
                  <w:tcMar>
                    <w:top w:w="80" w:type="dxa"/>
                    <w:left w:w="120" w:type="dxa"/>
                    <w:bottom w:w="80" w:type="dxa"/>
                    <w:right w:w="120" w:type="dxa"/>
                  </w:tcMar>
                  <w:vAlign w:val="center"/>
                </w:tcPr>
                <w:p w14:paraId="608DDE4D">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14:paraId="3D96290F">
                  <w:pPr>
                    <w:spacing w:after="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65 × 40 × 40 мм</w:t>
                  </w:r>
                </w:p>
              </w:tc>
            </w:tr>
            <w:tr w14:paraId="33C3D275">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2167" w:type="dxa"/>
                  <w:shd w:val="clear" w:color="auto" w:fill="FFFFFF"/>
                  <w:tcMar>
                    <w:top w:w="80" w:type="dxa"/>
                    <w:left w:w="120" w:type="dxa"/>
                    <w:bottom w:w="80" w:type="dxa"/>
                    <w:right w:w="120" w:type="dxa"/>
                  </w:tcMar>
                  <w:vAlign w:val="center"/>
                </w:tcPr>
                <w:p w14:paraId="78C34D97">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14:paraId="77849137">
                  <w:pPr>
                    <w:spacing w:after="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600 × 600 × 2 300 мм в рабочем положении</w:t>
                  </w:r>
                </w:p>
              </w:tc>
            </w:tr>
            <w:tr w14:paraId="2261927F">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2167" w:type="dxa"/>
                  <w:shd w:val="clear" w:color="auto" w:fill="FFFFFF"/>
                  <w:tcMar>
                    <w:top w:w="80" w:type="dxa"/>
                    <w:left w:w="120" w:type="dxa"/>
                    <w:bottom w:w="80" w:type="dxa"/>
                    <w:right w:w="120" w:type="dxa"/>
                  </w:tcMar>
                  <w:vAlign w:val="center"/>
                </w:tcPr>
                <w:p w14:paraId="7A6DA67F">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14:paraId="5B9947BA">
                  <w:pPr>
                    <w:spacing w:after="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Основной блок не более 200 × 40 × 40 мм; рабочая часть Ø не более 4 мм, рабочая длина не менее 20 мм</w:t>
                  </w:r>
                </w:p>
              </w:tc>
            </w:tr>
            <w:tr w14:paraId="2C1CBFC6">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2167" w:type="dxa"/>
                  <w:shd w:val="clear" w:color="auto" w:fill="FFFFFF"/>
                  <w:tcMar>
                    <w:top w:w="80" w:type="dxa"/>
                    <w:left w:w="120" w:type="dxa"/>
                    <w:bottom w:w="80" w:type="dxa"/>
                    <w:right w:w="120" w:type="dxa"/>
                  </w:tcMar>
                  <w:vAlign w:val="center"/>
                </w:tcPr>
                <w:p w14:paraId="143DE982">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14:paraId="2633CBC3">
                  <w:pPr>
                    <w:spacing w:after="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257 × 169 × 8 мм</w:t>
                  </w:r>
                </w:p>
              </w:tc>
            </w:tr>
            <w:tr w14:paraId="1CB8638A">
              <w:tblPrEx>
                <w:tblBorders>
                  <w:top w:val="single" w:color="CBD5E1" w:sz="6" w:space="0"/>
                  <w:left w:val="single" w:color="CBD5E1" w:sz="6" w:space="0"/>
                  <w:bottom w:val="single" w:color="CBD5E1" w:sz="6" w:space="0"/>
                  <w:right w:val="single" w:color="CBD5E1" w:sz="6" w:space="0"/>
                  <w:insideH w:val="single" w:color="CBD5E1" w:sz="6" w:space="0"/>
                  <w:insideV w:val="single" w:color="CBD5E1" w:sz="6" w:space="0"/>
                </w:tblBorders>
                <w:tblCellMar>
                  <w:top w:w="0" w:type="dxa"/>
                  <w:left w:w="108" w:type="dxa"/>
                  <w:bottom w:w="0" w:type="dxa"/>
                  <w:right w:w="108" w:type="dxa"/>
                </w:tblCellMar>
              </w:tblPrEx>
              <w:trPr>
                <w:cantSplit/>
              </w:trPr>
              <w:tc>
                <w:tcPr>
                  <w:tcW w:w="2167" w:type="dxa"/>
                  <w:shd w:val="clear" w:color="auto" w:fill="FFFFFF"/>
                  <w:tcMar>
                    <w:top w:w="80" w:type="dxa"/>
                    <w:left w:w="120" w:type="dxa"/>
                    <w:bottom w:w="80" w:type="dxa"/>
                    <w:right w:w="120" w:type="dxa"/>
                  </w:tcMar>
                  <w:vAlign w:val="center"/>
                </w:tcPr>
                <w:p w14:paraId="65F5D0CA">
                  <w:pPr>
                    <w:spacing w:after="0"/>
                    <w:ind w:firstLine="1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14:paraId="2257C8A0">
                  <w:pPr>
                    <w:spacing w:after="0"/>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Не более 300 × 200 × 100 мм без планшета</w:t>
                  </w:r>
                </w:p>
              </w:tc>
            </w:tr>
          </w:tbl>
          <w:p w14:paraId="68CF6E8F">
            <w:pPr>
              <w:spacing w:after="0" w:line="240" w:lineRule="auto"/>
              <w:ind w:firstLine="333"/>
              <w:jc w:val="both"/>
              <w:rPr>
                <w:rFonts w:ascii="Times New Roman" w:hAnsi="Times New Roman" w:eastAsia="Times New Roman" w:cs="Times New Roman"/>
                <w:color w:val="000000"/>
                <w:sz w:val="20"/>
                <w:szCs w:val="20"/>
              </w:rPr>
            </w:pPr>
          </w:p>
        </w:tc>
      </w:tr>
    </w:tbl>
    <w:p w14:paraId="27B27BBC">
      <w:pPr>
        <w:spacing w:after="0" w:line="240" w:lineRule="auto"/>
        <w:ind w:firstLine="567"/>
        <w:jc w:val="both"/>
        <w:rPr>
          <w:rFonts w:ascii="Times New Roman" w:hAnsi="Times New Roman" w:eastAsia="Times New Roman" w:cs="Times New Roman"/>
          <w:b/>
          <w:bCs/>
          <w:color w:val="000000"/>
          <w:sz w:val="20"/>
          <w:szCs w:val="20"/>
        </w:rPr>
      </w:pPr>
    </w:p>
    <w:p w14:paraId="1CBA0149">
      <w:pPr>
        <w:spacing w:after="0" w:line="240" w:lineRule="auto"/>
        <w:ind w:firstLine="567"/>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14:paraId="26D00E09">
      <w:pPr>
        <w:spacing w:after="0" w:line="240" w:lineRule="auto"/>
        <w:ind w:firstLine="567"/>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14:paraId="12B5EA7F">
      <w:pPr>
        <w:spacing w:after="0" w:line="240" w:lineRule="auto"/>
        <w:ind w:firstLine="567"/>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Медицинский работник авторизуется на планшете и выбирает либо создаёт карточку обследуемого.</w:t>
      </w:r>
    </w:p>
    <w:p w14:paraId="67F1C999">
      <w:pPr>
        <w:spacing w:after="0" w:line="240" w:lineRule="auto"/>
        <w:ind w:firstLine="567"/>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обследуемого вручную.</w:t>
      </w:r>
    </w:p>
    <w:p w14:paraId="41CFED04">
      <w:pPr>
        <w:spacing w:after="0" w:line="240" w:lineRule="auto"/>
        <w:ind w:firstLine="567"/>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14:paraId="60C484A6">
      <w:pPr>
        <w:spacing w:after="0" w:line="240" w:lineRule="auto"/>
        <w:ind w:firstLine="567"/>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14:paraId="6E21B81B">
      <w:pPr>
        <w:spacing w:after="0" w:line="240" w:lineRule="auto"/>
        <w:ind w:firstLine="567"/>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Заключение и результаты сохраняются в карточке обследуемого; при временном отсутствии связи данные ставятся в очередь и синхронизируются после восстановления подключения.</w:t>
      </w:r>
    </w:p>
    <w:sectPr>
      <w:pgSz w:w="12240" w:h="15840"/>
      <w:pgMar w:top="993" w:right="1440" w:bottom="1135" w:left="1440" w:header="708" w:footer="708"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embedRegular r:id="rId1" w:fontKey="{BD187BFD-1807-4AF6-9122-F3B909EA7732}"/>
  </w:font>
  <w:font w:name="Courier New">
    <w:panose1 w:val="02070309020205020404"/>
    <w:charset w:val="00"/>
    <w:family w:val="modern"/>
    <w:pitch w:val="default"/>
    <w:sig w:usb0="E0002AFF" w:usb1="C0007843" w:usb2="00000009" w:usb3="00000000" w:csb0="400001FF" w:csb1="FFFF0000"/>
    <w:embedRegular r:id="rId2" w:fontKey="{A95AE3E3-EED0-43D9-A879-D3DB4114A724}"/>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3" w:fontKey="{F7039611-A295-4D10-A7B6-C70EE20D6D2F}"/>
  </w:font>
  <w:font w:name="Calibri">
    <w:panose1 w:val="020F0502020204030204"/>
    <w:charset w:val="00"/>
    <w:family w:val="swiss"/>
    <w:pitch w:val="default"/>
    <w:sig w:usb0="E10002FF" w:usb1="4000ACFF" w:usb2="00000009" w:usb3="00000000" w:csb0="2000019F" w:csb1="00000000"/>
    <w:embedRegular r:id="rId4" w:fontKey="{4C407F78-923E-4041-A901-63DB876D4FDC}"/>
  </w:font>
  <w:font w:name="Calibri">
    <w:panose1 w:val="020F0502020204030204"/>
    <w:charset w:val="CC"/>
    <w:family w:val="swiss"/>
    <w:pitch w:val="default"/>
    <w:sig w:usb0="E10002FF" w:usb1="4000ACFF" w:usb2="00000009" w:usb3="00000000" w:csb0="2000019F" w:csb1="00000000"/>
    <w:embedRegular r:id="rId5" w:fontKey="{11804BA5-96E2-4D2E-9573-337ADA53FF0F}"/>
  </w:font>
  <w:font w:name="Segoe UI">
    <w:panose1 w:val="020B0502040204020203"/>
    <w:charset w:val="CC"/>
    <w:family w:val="swiss"/>
    <w:pitch w:val="default"/>
    <w:sig w:usb0="E10022FF" w:usb1="C000E47F" w:usb2="00000029" w:usb3="00000000" w:csb0="200001DF" w:csb1="20000000"/>
    <w:embedRegular r:id="rId6" w:fontKey="{0F600EE1-02E9-4490-97CC-7C1589A88154}"/>
  </w:font>
  <w:font w:name="Symbol">
    <w:panose1 w:val="05050102010706020507"/>
    <w:charset w:val="02"/>
    <w:family w:val="roman"/>
    <w:pitch w:val="default"/>
    <w:sig w:usb0="00000000" w:usb1="00000000" w:usb2="00000000" w:usb3="00000000" w:csb0="80000000" w:csb1="00000000"/>
    <w:embedRegular r:id="rId7" w:fontKey="{85F20142-7D69-43F9-B52E-98C4FB6F5ED2}"/>
  </w:font>
  <w:font w:name="Gulim">
    <w:panose1 w:val="020B0600000101010101"/>
    <w:charset w:val="81"/>
    <w:family w:val="auto"/>
    <w:pitch w:val="default"/>
    <w:sig w:usb0="B00002AF" w:usb1="69D77CFB" w:usb2="00000030" w:usb3="00000000" w:csb0="4008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4" w:lineRule="auto"/>
      </w:pPr>
      <w:r>
        <w:separator/>
      </w:r>
    </w:p>
  </w:footnote>
  <w:footnote w:type="continuationSeparator" w:id="1">
    <w:p>
      <w:pPr>
        <w:spacing w:before="0" w:after="0" w:line="26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F13D9C"/>
    <w:multiLevelType w:val="multilevel"/>
    <w:tmpl w:val="29F13D9C"/>
    <w:lvl w:ilvl="0" w:tentative="0">
      <w:start w:val="1"/>
      <w:numFmt w:val="bullet"/>
      <w:lvlText w:val=""/>
      <w:lvlJc w:val="left"/>
      <w:pPr>
        <w:ind w:left="720" w:hanging="360"/>
      </w:pPr>
      <w:rPr>
        <w:rFonts w:hint="default" w:ascii="Symbol" w:hAnsi="Symbol"/>
      </w:r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1">
    <w:nsid w:val="5B3A031B"/>
    <w:multiLevelType w:val="multilevel"/>
    <w:tmpl w:val="5B3A031B"/>
    <w:lvl w:ilvl="0" w:tentative="0">
      <w:start w:val="1"/>
      <w:numFmt w:val="bullet"/>
      <w:lvlText w:val="•"/>
      <w:lvlJc w:val="left"/>
      <w:pPr>
        <w:ind w:left="720" w:hanging="360"/>
      </w:pPr>
      <w:rPr>
        <w:rFonts w:ascii="Calibri" w:hAnsi="Calibri" w:eastAsia="Calibri" w:cs="Calibri"/>
      </w:r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E3B"/>
    <w:rsid w:val="00034161"/>
    <w:rsid w:val="00056107"/>
    <w:rsid w:val="000B4D45"/>
    <w:rsid w:val="000E752F"/>
    <w:rsid w:val="00245E3B"/>
    <w:rsid w:val="002E151B"/>
    <w:rsid w:val="004F7578"/>
    <w:rsid w:val="00663180"/>
    <w:rsid w:val="00732663"/>
    <w:rsid w:val="00874C5B"/>
    <w:rsid w:val="009F7F11"/>
    <w:rsid w:val="00AA13F3"/>
    <w:rsid w:val="00C45BB9"/>
    <w:rsid w:val="00D940EA"/>
    <w:rsid w:val="00DF0C96"/>
    <w:rsid w:val="00E771C7"/>
    <w:rsid w:val="00F95E0C"/>
    <w:rsid w:val="0F283C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atentStyles>
  <w:style w:type="paragraph" w:default="1" w:styleId="1">
    <w:name w:val="Normal"/>
    <w:qFormat/>
    <w:uiPriority w:val="0"/>
    <w:pPr>
      <w:spacing w:after="120" w:line="264" w:lineRule="auto"/>
    </w:pPr>
    <w:rPr>
      <w:rFonts w:ascii="Calibri" w:hAnsi="Calibri" w:eastAsia="Calibri" w:cs="Calibri"/>
      <w:color w:val="1F2937"/>
      <w:sz w:val="22"/>
      <w:szCs w:val="22"/>
      <w:lang w:val="ru" w:bidi="ar-SA"/>
    </w:rPr>
  </w:style>
  <w:style w:type="paragraph" w:styleId="2">
    <w:name w:val="heading 1"/>
    <w:basedOn w:val="1"/>
    <w:next w:val="1"/>
    <w:qFormat/>
    <w:uiPriority w:val="9"/>
    <w:pPr>
      <w:keepNext/>
      <w:keepLines/>
      <w:spacing w:before="320" w:after="160"/>
      <w:outlineLvl w:val="0"/>
    </w:pPr>
    <w:rPr>
      <w:b/>
      <w:bCs/>
      <w:color w:val="2E74B5"/>
      <w:sz w:val="32"/>
      <w:szCs w:val="32"/>
    </w:rPr>
  </w:style>
  <w:style w:type="paragraph" w:styleId="3">
    <w:name w:val="heading 2"/>
    <w:basedOn w:val="1"/>
    <w:next w:val="1"/>
    <w:semiHidden/>
    <w:unhideWhenUsed/>
    <w:qFormat/>
    <w:uiPriority w:val="9"/>
    <w:pPr>
      <w:keepNext/>
      <w:keepLines/>
      <w:spacing w:before="240"/>
      <w:outlineLvl w:val="1"/>
    </w:pPr>
    <w:rPr>
      <w:b/>
      <w:bCs/>
      <w:color w:val="2E74B5"/>
      <w:sz w:val="26"/>
      <w:szCs w:val="26"/>
    </w:rPr>
  </w:style>
  <w:style w:type="paragraph" w:styleId="4">
    <w:name w:val="heading 3"/>
    <w:basedOn w:val="1"/>
    <w:next w:val="1"/>
    <w:semiHidden/>
    <w:unhideWhenUsed/>
    <w:qFormat/>
    <w:uiPriority w:val="9"/>
    <w:pPr>
      <w:keepNext/>
      <w:keepLines/>
      <w:spacing w:before="160" w:after="80"/>
      <w:outlineLvl w:val="2"/>
    </w:pPr>
    <w:rPr>
      <w:b/>
      <w:bCs/>
      <w:color w:val="1F4D78"/>
      <w:sz w:val="24"/>
      <w:szCs w:val="24"/>
    </w:rPr>
  </w:style>
  <w:style w:type="paragraph" w:styleId="5">
    <w:name w:val="heading 4"/>
    <w:basedOn w:val="1"/>
    <w:next w:val="1"/>
    <w:semiHidden/>
    <w:unhideWhenUsed/>
    <w:qFormat/>
    <w:uiPriority w:val="9"/>
    <w:pPr>
      <w:keepNext/>
      <w:keepLines/>
      <w:spacing w:before="200" w:after="0"/>
      <w:outlineLvl w:val="3"/>
    </w:pPr>
    <w:rPr>
      <w:b/>
      <w:bCs/>
      <w:i/>
      <w:iCs/>
      <w:color w:val="4F81BD"/>
    </w:rPr>
  </w:style>
  <w:style w:type="paragraph" w:styleId="6">
    <w:name w:val="heading 5"/>
    <w:basedOn w:val="1"/>
    <w:next w:val="1"/>
    <w:semiHidden/>
    <w:unhideWhenUsed/>
    <w:qFormat/>
    <w:uiPriority w:val="9"/>
    <w:pPr>
      <w:keepNext/>
      <w:keepLines/>
      <w:spacing w:before="200" w:after="0"/>
      <w:outlineLvl w:val="4"/>
    </w:pPr>
    <w:rPr>
      <w:color w:val="243F61"/>
    </w:rPr>
  </w:style>
  <w:style w:type="paragraph" w:styleId="7">
    <w:name w:val="heading 6"/>
    <w:basedOn w:val="1"/>
    <w:next w:val="1"/>
    <w:semiHidden/>
    <w:unhideWhenUsed/>
    <w:qFormat/>
    <w:uiPriority w:val="9"/>
    <w:pPr>
      <w:keepNext/>
      <w:keepLines/>
      <w:spacing w:before="200" w:after="0"/>
      <w:outlineLvl w:val="5"/>
    </w:pPr>
    <w:rPr>
      <w:i/>
      <w:iCs/>
      <w:color w:val="243F61"/>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26"/>
    <w:semiHidden/>
    <w:unhideWhenUsed/>
    <w:qFormat/>
    <w:uiPriority w:val="99"/>
    <w:pPr>
      <w:spacing w:after="0" w:line="240" w:lineRule="auto"/>
    </w:pPr>
    <w:rPr>
      <w:rFonts w:ascii="Segoe UI" w:hAnsi="Segoe UI" w:cs="Segoe UI"/>
      <w:sz w:val="18"/>
      <w:szCs w:val="18"/>
    </w:rPr>
  </w:style>
  <w:style w:type="paragraph" w:styleId="11">
    <w:name w:val="Title"/>
    <w:basedOn w:val="1"/>
    <w:next w:val="1"/>
    <w:qFormat/>
    <w:uiPriority w:val="10"/>
    <w:pPr>
      <w:pBdr>
        <w:bottom w:val="single" w:color="4F81BD" w:sz="8" w:space="4"/>
      </w:pBdr>
      <w:spacing w:after="300" w:line="240" w:lineRule="auto"/>
    </w:pPr>
    <w:rPr>
      <w:color w:val="17365D"/>
      <w:sz w:val="52"/>
      <w:szCs w:val="52"/>
    </w:rPr>
  </w:style>
  <w:style w:type="paragraph" w:styleId="12">
    <w:name w:val="Subtitle"/>
    <w:basedOn w:val="1"/>
    <w:next w:val="1"/>
    <w:qFormat/>
    <w:uiPriority w:val="11"/>
    <w:rPr>
      <w:i/>
      <w:iCs/>
      <w:color w:val="4F81BD"/>
      <w:sz w:val="24"/>
      <w:szCs w:val="24"/>
    </w:rPr>
  </w:style>
  <w:style w:type="table" w:customStyle="1" w:styleId="13">
    <w:name w:val="TableNormal"/>
    <w:qFormat/>
    <w:uiPriority w:val="0"/>
    <w:tblPr>
      <w:tblCellMar>
        <w:top w:w="100" w:type="dxa"/>
        <w:left w:w="100" w:type="dxa"/>
        <w:bottom w:w="100" w:type="dxa"/>
        <w:right w:w="100" w:type="dxa"/>
      </w:tblCellMar>
    </w:tblPr>
  </w:style>
  <w:style w:type="table" w:customStyle="1" w:styleId="14">
    <w:name w:val="_Style 12"/>
    <w:basedOn w:val="13"/>
    <w:qFormat/>
    <w:uiPriority w:val="0"/>
    <w:tblPr>
      <w:tblCellMar>
        <w:top w:w="0" w:type="dxa"/>
        <w:left w:w="115" w:type="dxa"/>
        <w:bottom w:w="0" w:type="dxa"/>
        <w:right w:w="115" w:type="dxa"/>
      </w:tblCellMar>
    </w:tblPr>
  </w:style>
  <w:style w:type="table" w:customStyle="1" w:styleId="15">
    <w:name w:val="_Style 13"/>
    <w:basedOn w:val="13"/>
    <w:qFormat/>
    <w:uiPriority w:val="0"/>
    <w:tblPr>
      <w:tblCellMar>
        <w:top w:w="0" w:type="dxa"/>
        <w:left w:w="115" w:type="dxa"/>
        <w:bottom w:w="0" w:type="dxa"/>
        <w:right w:w="115" w:type="dxa"/>
      </w:tblCellMar>
    </w:tblPr>
  </w:style>
  <w:style w:type="table" w:customStyle="1" w:styleId="16">
    <w:name w:val="_Style 14"/>
    <w:basedOn w:val="13"/>
    <w:qFormat/>
    <w:uiPriority w:val="0"/>
    <w:pPr>
      <w:spacing w:after="0" w:line="240" w:lineRule="auto"/>
    </w:pPr>
    <w:tblPr>
      <w:tblCellMar>
        <w:top w:w="0" w:type="dxa"/>
        <w:left w:w="108" w:type="dxa"/>
        <w:bottom w:w="0" w:type="dxa"/>
        <w:right w:w="108" w:type="dxa"/>
      </w:tblCellMar>
    </w:tblPr>
  </w:style>
  <w:style w:type="table" w:customStyle="1" w:styleId="17">
    <w:name w:val="_Style 15"/>
    <w:basedOn w:val="13"/>
    <w:qFormat/>
    <w:uiPriority w:val="0"/>
    <w:pPr>
      <w:spacing w:after="0" w:line="240" w:lineRule="auto"/>
    </w:pPr>
    <w:tblPr>
      <w:tblCellMar>
        <w:top w:w="0" w:type="dxa"/>
        <w:left w:w="108" w:type="dxa"/>
        <w:bottom w:w="0" w:type="dxa"/>
        <w:right w:w="108" w:type="dxa"/>
      </w:tblCellMar>
    </w:tblPr>
  </w:style>
  <w:style w:type="table" w:customStyle="1" w:styleId="18">
    <w:name w:val="_Style 16"/>
    <w:basedOn w:val="13"/>
    <w:qFormat/>
    <w:uiPriority w:val="0"/>
    <w:pPr>
      <w:spacing w:after="0" w:line="240" w:lineRule="auto"/>
    </w:pPr>
    <w:tblPr>
      <w:tblCellMar>
        <w:top w:w="0" w:type="dxa"/>
        <w:left w:w="108" w:type="dxa"/>
        <w:bottom w:w="0" w:type="dxa"/>
        <w:right w:w="108" w:type="dxa"/>
      </w:tblCellMar>
    </w:tblPr>
  </w:style>
  <w:style w:type="table" w:customStyle="1" w:styleId="19">
    <w:name w:val="_Style 17"/>
    <w:basedOn w:val="13"/>
    <w:qFormat/>
    <w:uiPriority w:val="0"/>
    <w:pPr>
      <w:spacing w:after="0" w:line="240" w:lineRule="auto"/>
    </w:pPr>
    <w:tblPr>
      <w:tblCellMar>
        <w:top w:w="0" w:type="dxa"/>
        <w:left w:w="108" w:type="dxa"/>
        <w:bottom w:w="0" w:type="dxa"/>
        <w:right w:w="108" w:type="dxa"/>
      </w:tblCellMar>
    </w:tblPr>
  </w:style>
  <w:style w:type="table" w:customStyle="1" w:styleId="20">
    <w:name w:val="_Style 18"/>
    <w:basedOn w:val="13"/>
    <w:qFormat/>
    <w:uiPriority w:val="0"/>
    <w:pPr>
      <w:spacing w:after="0" w:line="240" w:lineRule="auto"/>
    </w:pPr>
    <w:tblPr>
      <w:tblCellMar>
        <w:top w:w="0" w:type="dxa"/>
        <w:left w:w="108" w:type="dxa"/>
        <w:bottom w:w="0" w:type="dxa"/>
        <w:right w:w="108" w:type="dxa"/>
      </w:tblCellMar>
    </w:tblPr>
  </w:style>
  <w:style w:type="table" w:customStyle="1" w:styleId="21">
    <w:name w:val="_Style 19"/>
    <w:basedOn w:val="13"/>
    <w:qFormat/>
    <w:uiPriority w:val="0"/>
    <w:pPr>
      <w:spacing w:after="0" w:line="240" w:lineRule="auto"/>
    </w:pPr>
    <w:tblPr>
      <w:tblCellMar>
        <w:top w:w="0" w:type="dxa"/>
        <w:left w:w="108" w:type="dxa"/>
        <w:bottom w:w="0" w:type="dxa"/>
        <w:right w:w="108" w:type="dxa"/>
      </w:tblCellMar>
    </w:tblPr>
  </w:style>
  <w:style w:type="table" w:customStyle="1" w:styleId="22">
    <w:name w:val="_Style 20"/>
    <w:basedOn w:val="13"/>
    <w:qFormat/>
    <w:uiPriority w:val="0"/>
    <w:pPr>
      <w:spacing w:after="0" w:line="240" w:lineRule="auto"/>
    </w:pPr>
    <w:tblPr>
      <w:tblCellMar>
        <w:top w:w="0" w:type="dxa"/>
        <w:left w:w="108" w:type="dxa"/>
        <w:bottom w:w="0" w:type="dxa"/>
        <w:right w:w="108" w:type="dxa"/>
      </w:tblCellMar>
    </w:tblPr>
  </w:style>
  <w:style w:type="table" w:customStyle="1" w:styleId="23">
    <w:name w:val="_Style 21"/>
    <w:basedOn w:val="13"/>
    <w:qFormat/>
    <w:uiPriority w:val="0"/>
    <w:pPr>
      <w:spacing w:after="0" w:line="240" w:lineRule="auto"/>
    </w:pPr>
    <w:tblPr>
      <w:tblCellMar>
        <w:top w:w="0" w:type="dxa"/>
        <w:left w:w="108" w:type="dxa"/>
        <w:bottom w:w="0" w:type="dxa"/>
        <w:right w:w="108" w:type="dxa"/>
      </w:tblCellMar>
    </w:tblPr>
  </w:style>
  <w:style w:type="table" w:customStyle="1" w:styleId="24">
    <w:name w:val="_Style 22"/>
    <w:basedOn w:val="13"/>
    <w:qFormat/>
    <w:uiPriority w:val="0"/>
    <w:tblPr>
      <w:tblCellMar>
        <w:top w:w="0" w:type="dxa"/>
        <w:left w:w="115" w:type="dxa"/>
        <w:bottom w:w="0" w:type="dxa"/>
        <w:right w:w="115" w:type="dxa"/>
      </w:tblCellMar>
    </w:tblPr>
  </w:style>
  <w:style w:type="table" w:customStyle="1" w:styleId="25">
    <w:name w:val="_Style 23"/>
    <w:basedOn w:val="13"/>
    <w:qFormat/>
    <w:uiPriority w:val="0"/>
    <w:pPr>
      <w:spacing w:after="0" w:line="240" w:lineRule="auto"/>
    </w:pPr>
    <w:tblPr>
      <w:tblCellMar>
        <w:top w:w="0" w:type="dxa"/>
        <w:left w:w="108" w:type="dxa"/>
        <w:bottom w:w="0" w:type="dxa"/>
        <w:right w:w="108" w:type="dxa"/>
      </w:tblCellMar>
    </w:tblPr>
  </w:style>
  <w:style w:type="character" w:customStyle="1" w:styleId="26">
    <w:name w:val="Текст выноски Знак"/>
    <w:basedOn w:val="8"/>
    <w:link w:val="10"/>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9</Pages>
  <Words>2255</Words>
  <Characters>15117</Characters>
  <Lines>123</Lines>
  <Paragraphs>34</Paragraphs>
  <TotalTime>41</TotalTime>
  <ScaleCrop>false</ScaleCrop>
  <LinksUpToDate>false</LinksUpToDate>
  <CharactersWithSpaces>17046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2026-09-02T12:53:00Z</dcterms:created>
  <dc:creator>admin</dc:creator>
  <cp:lastModifiedBy>user</cp:lastModifiedBy>
  <cp:lastPrinted>2026-09-30T11:23:00Z</cp:lastPrinted>
  <dcterms:modified xsi:type="dcterms:W3CDTF">2026-10-12T17:11:52Z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347BBB40366D441388F5F281D0884484_13</vt:lpwstr>
  </property>
</Properties>
</file>