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377D5D">
      <w:pPr>
        <w:jc w:val="center"/>
        <w:rPr>
          <w:rFonts w:ascii="Times New Roman" w:hAnsi="Times New Roman" w:cs="Times New Roman"/>
          <w:sz w:val="22"/>
          <w:lang w:val="ru-RU"/>
        </w:rPr>
      </w:pPr>
      <w:r>
        <w:rPr>
          <w:rFonts w:ascii="Times New Roman" w:hAnsi="Times New Roman" w:cs="Times New Roman"/>
          <w:b/>
          <w:sz w:val="22"/>
          <w:lang w:val="ru-RU"/>
        </w:rPr>
        <w:t>ТЕХНИЧЕСКАЯ СПЕЦИФИКАЦИЯ</w:t>
      </w:r>
    </w:p>
    <w:p w14:paraId="2BD124C4">
      <w:pPr>
        <w:rPr>
          <w:rFonts w:ascii="Times New Roman" w:hAnsi="Times New Roman" w:cs="Times New Roman"/>
          <w:sz w:val="22"/>
          <w:lang w:val="ru-RU"/>
        </w:rPr>
      </w:pPr>
      <w:r>
        <w:rPr>
          <w:rFonts w:ascii="Times New Roman" w:hAnsi="Times New Roman" w:cs="Times New Roman"/>
          <w:b/>
          <w:sz w:val="22"/>
          <w:lang w:val="ru-RU"/>
        </w:rPr>
        <w:t>На выполнение работ по демонтажу существующей и установке новой наружной входной металлической двери КПП</w:t>
      </w:r>
    </w:p>
    <w:p w14:paraId="117C2DBA">
      <w:pPr>
        <w:pStyle w:val="3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hAnsi="Times New Roman" w:cs="Times New Roman"/>
          <w:sz w:val="22"/>
          <w:szCs w:val="22"/>
          <w:lang w:val="ru-RU"/>
        </w:rPr>
        <w:t>1. Общие сведения</w:t>
      </w:r>
    </w:p>
    <w:p w14:paraId="63F2E6B9">
      <w:pPr>
        <w:rPr>
          <w:rFonts w:ascii="Times New Roman" w:hAnsi="Times New Roman" w:cs="Times New Roman"/>
          <w:sz w:val="22"/>
          <w:lang w:val="ru-RU"/>
        </w:rPr>
      </w:pPr>
      <w:r>
        <w:rPr>
          <w:rFonts w:ascii="Times New Roman" w:hAnsi="Times New Roman" w:cs="Times New Roman"/>
          <w:sz w:val="22"/>
          <w:lang w:val="ru-RU"/>
        </w:rPr>
        <w:t>Заказчик: КГУ «Лицей-интернат «Білім-Инновация» для одарённых девочек» акимата города Астаны.</w:t>
      </w:r>
    </w:p>
    <w:p w14:paraId="788A4336">
      <w:pPr>
        <w:rPr>
          <w:rFonts w:ascii="Times New Roman" w:hAnsi="Times New Roman" w:cs="Times New Roman"/>
          <w:sz w:val="22"/>
          <w:lang w:val="ru-RU"/>
        </w:rPr>
      </w:pPr>
      <w:r>
        <w:rPr>
          <w:rFonts w:ascii="Times New Roman" w:hAnsi="Times New Roman" w:cs="Times New Roman"/>
          <w:sz w:val="22"/>
          <w:lang w:val="ru-RU"/>
        </w:rPr>
        <w:t>Место выполнения работ: г. Астана, ул. Бердибека Сокпакбаева, 17, КПП.</w:t>
      </w:r>
    </w:p>
    <w:p w14:paraId="6B41600E">
      <w:pPr>
        <w:rPr>
          <w:rFonts w:ascii="Times New Roman" w:hAnsi="Times New Roman" w:cs="Times New Roman"/>
          <w:sz w:val="22"/>
          <w:lang w:val="ru-RU"/>
        </w:rPr>
      </w:pPr>
      <w:r>
        <w:rPr>
          <w:rFonts w:ascii="Times New Roman" w:hAnsi="Times New Roman" w:cs="Times New Roman"/>
          <w:sz w:val="22"/>
          <w:lang w:val="ru-RU"/>
        </w:rPr>
        <w:t>Объём: замена 1 (одного) дверного блока в комплекте.</w:t>
      </w:r>
    </w:p>
    <w:p w14:paraId="460EF997">
      <w:pPr>
        <w:pStyle w:val="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 Технические характеристики двери</w:t>
      </w:r>
    </w:p>
    <w:tbl>
      <w:tblPr>
        <w:tblStyle w:val="3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24"/>
        <w:gridCol w:w="3324"/>
        <w:gridCol w:w="3324"/>
      </w:tblGrid>
      <w:tr w14:paraId="34EA47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324" w:type="dxa"/>
          </w:tcPr>
          <w:p w14:paraId="4789DD1D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№</w:t>
            </w:r>
          </w:p>
        </w:tc>
        <w:tc>
          <w:tcPr>
            <w:tcW w:w="3324" w:type="dxa"/>
          </w:tcPr>
          <w:p w14:paraId="0EF47169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Характеристика</w:t>
            </w:r>
          </w:p>
        </w:tc>
        <w:tc>
          <w:tcPr>
            <w:tcW w:w="3324" w:type="dxa"/>
          </w:tcPr>
          <w:p w14:paraId="52AF94BF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Требование</w:t>
            </w:r>
          </w:p>
        </w:tc>
      </w:tr>
      <w:tr w14:paraId="6D0940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324" w:type="dxa"/>
          </w:tcPr>
          <w:p w14:paraId="1AD0F983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3324" w:type="dxa"/>
          </w:tcPr>
          <w:p w14:paraId="5E00C3FF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Тип</w:t>
            </w:r>
          </w:p>
        </w:tc>
        <w:tc>
          <w:tcPr>
            <w:tcW w:w="3324" w:type="dxa"/>
          </w:tcPr>
          <w:p w14:paraId="5E6BEA52">
            <w:pPr>
              <w:spacing w:line="240" w:lineRule="auto"/>
              <w:rPr>
                <w:rFonts w:ascii="Times New Roman" w:hAnsi="Times New Roman" w:cs="Times New Roman"/>
                <w:sz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lang w:val="ru-RU"/>
              </w:rPr>
              <w:t>Наружная входная металлическая, одностворчатая, глухая</w:t>
            </w:r>
          </w:p>
        </w:tc>
      </w:tr>
      <w:tr w14:paraId="019F31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324" w:type="dxa"/>
          </w:tcPr>
          <w:p w14:paraId="16EC1583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3324" w:type="dxa"/>
          </w:tcPr>
          <w:p w14:paraId="7A01F8C3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Размер проёма</w:t>
            </w:r>
          </w:p>
        </w:tc>
        <w:tc>
          <w:tcPr>
            <w:tcW w:w="3324" w:type="dxa"/>
          </w:tcPr>
          <w:p w14:paraId="38B13731">
            <w:pPr>
              <w:spacing w:line="240" w:lineRule="auto"/>
              <w:rPr>
                <w:rFonts w:ascii="Times New Roman" w:hAnsi="Times New Roman" w:cs="Times New Roman"/>
                <w:sz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lang w:val="ru-RU"/>
              </w:rPr>
              <w:t>Высота 2000 мм, ширина 800 мм; окончательные размеры по замеру</w:t>
            </w:r>
          </w:p>
        </w:tc>
      </w:tr>
      <w:tr w14:paraId="6EAB60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324" w:type="dxa"/>
          </w:tcPr>
          <w:p w14:paraId="533858F9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3324" w:type="dxa"/>
          </w:tcPr>
          <w:p w14:paraId="33BA26A5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Материал</w:t>
            </w:r>
          </w:p>
        </w:tc>
        <w:tc>
          <w:tcPr>
            <w:tcW w:w="3324" w:type="dxa"/>
          </w:tcPr>
          <w:p w14:paraId="07695340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Сталь</w:t>
            </w:r>
          </w:p>
        </w:tc>
      </w:tr>
      <w:tr w14:paraId="6C7211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324" w:type="dxa"/>
          </w:tcPr>
          <w:p w14:paraId="3F9EBC1E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3324" w:type="dxa"/>
          </w:tcPr>
          <w:p w14:paraId="47A39D3F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Толщина наружного стального листа</w:t>
            </w:r>
          </w:p>
        </w:tc>
        <w:tc>
          <w:tcPr>
            <w:tcW w:w="3324" w:type="dxa"/>
          </w:tcPr>
          <w:p w14:paraId="6AD44543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Не менее 1,5 мм</w:t>
            </w:r>
          </w:p>
        </w:tc>
      </w:tr>
      <w:tr w14:paraId="305339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324" w:type="dxa"/>
          </w:tcPr>
          <w:p w14:paraId="6F0AC716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3324" w:type="dxa"/>
          </w:tcPr>
          <w:p w14:paraId="0B84970C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Конструкция</w:t>
            </w:r>
          </w:p>
        </w:tc>
        <w:tc>
          <w:tcPr>
            <w:tcW w:w="3324" w:type="dxa"/>
          </w:tcPr>
          <w:p w14:paraId="78A36B2B">
            <w:pPr>
              <w:spacing w:line="240" w:lineRule="auto"/>
              <w:rPr>
                <w:rFonts w:ascii="Times New Roman" w:hAnsi="Times New Roman" w:cs="Times New Roman"/>
                <w:sz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lang w:val="ru-RU"/>
              </w:rPr>
              <w:t>Усиленная, с внутренними рёбрами жёсткости</w:t>
            </w:r>
          </w:p>
        </w:tc>
      </w:tr>
      <w:tr w14:paraId="3DD52E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324" w:type="dxa"/>
          </w:tcPr>
          <w:p w14:paraId="03C70911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3324" w:type="dxa"/>
          </w:tcPr>
          <w:p w14:paraId="05B37DFD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Коробка</w:t>
            </w:r>
          </w:p>
        </w:tc>
        <w:tc>
          <w:tcPr>
            <w:tcW w:w="3324" w:type="dxa"/>
          </w:tcPr>
          <w:p w14:paraId="51F4F7D9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Усиленная металлическая</w:t>
            </w:r>
          </w:p>
        </w:tc>
      </w:tr>
      <w:tr w14:paraId="4AAEDE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324" w:type="dxa"/>
          </w:tcPr>
          <w:p w14:paraId="366E68D1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3324" w:type="dxa"/>
          </w:tcPr>
          <w:p w14:paraId="44B7EC32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Утепление</w:t>
            </w:r>
          </w:p>
        </w:tc>
        <w:tc>
          <w:tcPr>
            <w:tcW w:w="3324" w:type="dxa"/>
          </w:tcPr>
          <w:p w14:paraId="5EED24EF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Негорючий теплоизоляционный материал</w:t>
            </w:r>
          </w:p>
        </w:tc>
      </w:tr>
      <w:tr w14:paraId="1D7D46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324" w:type="dxa"/>
          </w:tcPr>
          <w:p w14:paraId="31A679F3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3324" w:type="dxa"/>
          </w:tcPr>
          <w:p w14:paraId="5AA13572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Замки</w:t>
            </w:r>
          </w:p>
        </w:tc>
        <w:tc>
          <w:tcPr>
            <w:tcW w:w="3324" w:type="dxa"/>
          </w:tcPr>
          <w:p w14:paraId="758C2BE8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Надёжные, для интенсивной эксплуатации</w:t>
            </w:r>
          </w:p>
        </w:tc>
      </w:tr>
      <w:tr w14:paraId="099734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324" w:type="dxa"/>
          </w:tcPr>
          <w:p w14:paraId="6A116F40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324" w:type="dxa"/>
          </w:tcPr>
          <w:p w14:paraId="39E5C91C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Петли</w:t>
            </w:r>
          </w:p>
        </w:tc>
        <w:tc>
          <w:tcPr>
            <w:tcW w:w="3324" w:type="dxa"/>
          </w:tcPr>
          <w:p w14:paraId="3F610F5D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Усиленные, соответствующие массе полотна</w:t>
            </w:r>
          </w:p>
        </w:tc>
      </w:tr>
      <w:tr w14:paraId="6CF728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324" w:type="dxa"/>
          </w:tcPr>
          <w:p w14:paraId="08CA05A3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3324" w:type="dxa"/>
          </w:tcPr>
          <w:p w14:paraId="49470433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Доводчик</w:t>
            </w:r>
          </w:p>
        </w:tc>
        <w:tc>
          <w:tcPr>
            <w:tcW w:w="3324" w:type="dxa"/>
          </w:tcPr>
          <w:p w14:paraId="4478E507">
            <w:pPr>
              <w:spacing w:line="240" w:lineRule="auto"/>
              <w:rPr>
                <w:rFonts w:ascii="Times New Roman" w:hAnsi="Times New Roman" w:cs="Times New Roman"/>
                <w:sz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lang w:val="ru-RU"/>
              </w:rPr>
              <w:t>Промышленного исполнения, для наружной эксплуатации при отрицательных температурах</w:t>
            </w:r>
          </w:p>
        </w:tc>
      </w:tr>
      <w:tr w14:paraId="446142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324" w:type="dxa"/>
          </w:tcPr>
          <w:p w14:paraId="60E69E24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  <w:tc>
          <w:tcPr>
            <w:tcW w:w="3324" w:type="dxa"/>
          </w:tcPr>
          <w:p w14:paraId="0A4DA36C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Уплотнитель</w:t>
            </w:r>
          </w:p>
        </w:tc>
        <w:tc>
          <w:tcPr>
            <w:tcW w:w="3324" w:type="dxa"/>
          </w:tcPr>
          <w:p w14:paraId="5F831FA1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По периметру полотна</w:t>
            </w:r>
          </w:p>
        </w:tc>
      </w:tr>
      <w:tr w14:paraId="17DF10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324" w:type="dxa"/>
          </w:tcPr>
          <w:p w14:paraId="6243C822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12</w:t>
            </w:r>
          </w:p>
        </w:tc>
        <w:tc>
          <w:tcPr>
            <w:tcW w:w="3324" w:type="dxa"/>
          </w:tcPr>
          <w:p w14:paraId="5D61AC2C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Покрытие</w:t>
            </w:r>
          </w:p>
        </w:tc>
        <w:tc>
          <w:tcPr>
            <w:tcW w:w="3324" w:type="dxa"/>
          </w:tcPr>
          <w:p w14:paraId="0716FC70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Износостойкое, антикоррозионное</w:t>
            </w:r>
          </w:p>
        </w:tc>
      </w:tr>
      <w:tr w14:paraId="228C0C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324" w:type="dxa"/>
          </w:tcPr>
          <w:p w14:paraId="6379B738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13</w:t>
            </w:r>
          </w:p>
        </w:tc>
        <w:tc>
          <w:tcPr>
            <w:tcW w:w="3324" w:type="dxa"/>
          </w:tcPr>
          <w:p w14:paraId="4F76D043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Ручки</w:t>
            </w:r>
          </w:p>
        </w:tc>
        <w:tc>
          <w:tcPr>
            <w:tcW w:w="3324" w:type="dxa"/>
          </w:tcPr>
          <w:p w14:paraId="1C2069EB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Металлические, прочные</w:t>
            </w:r>
          </w:p>
        </w:tc>
      </w:tr>
      <w:tr w14:paraId="23465D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324" w:type="dxa"/>
          </w:tcPr>
          <w:p w14:paraId="71B90FF8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14</w:t>
            </w:r>
          </w:p>
        </w:tc>
        <w:tc>
          <w:tcPr>
            <w:tcW w:w="3324" w:type="dxa"/>
          </w:tcPr>
          <w:p w14:paraId="63A684B8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Цвет и отделка</w:t>
            </w:r>
          </w:p>
        </w:tc>
        <w:tc>
          <w:tcPr>
            <w:tcW w:w="3324" w:type="dxa"/>
          </w:tcPr>
          <w:p w14:paraId="063E68C7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По согласованию с Заказчиком</w:t>
            </w:r>
          </w:p>
        </w:tc>
      </w:tr>
    </w:tbl>
    <w:p w14:paraId="5D755577">
      <w:pPr>
        <w:rPr>
          <w:rFonts w:ascii="Times New Roman" w:hAnsi="Times New Roman" w:cs="Times New Roman"/>
          <w:sz w:val="22"/>
          <w:lang w:val="ru-RU"/>
        </w:rPr>
      </w:pPr>
      <w:r>
        <w:rPr>
          <w:rFonts w:ascii="Times New Roman" w:hAnsi="Times New Roman" w:cs="Times New Roman"/>
          <w:sz w:val="22"/>
          <w:lang w:val="ru-RU"/>
        </w:rPr>
        <w:t>Дверной блок и комплектующие должны быть новыми, ранее не использованными, без повреждений и дефектов.</w:t>
      </w:r>
    </w:p>
    <w:p w14:paraId="795CACEA">
      <w:pPr>
        <w:pStyle w:val="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3. Перечень работ</w:t>
      </w:r>
    </w:p>
    <w:p w14:paraId="7362826B">
      <w:pPr>
        <w:pStyle w:val="27"/>
        <w:rPr>
          <w:rFonts w:ascii="Times New Roman" w:hAnsi="Times New Roman" w:cs="Times New Roman"/>
          <w:sz w:val="22"/>
          <w:lang w:val="ru-RU"/>
        </w:rPr>
      </w:pPr>
      <w:r>
        <w:rPr>
          <w:rFonts w:ascii="Times New Roman" w:hAnsi="Times New Roman" w:cs="Times New Roman"/>
          <w:sz w:val="22"/>
          <w:lang w:val="ru-RU"/>
        </w:rPr>
        <w:t>Демонтаж существующего металлического дверного блока — 1 шт.</w:t>
      </w:r>
    </w:p>
    <w:p w14:paraId="253234FD">
      <w:pPr>
        <w:pStyle w:val="27"/>
        <w:rPr>
          <w:rFonts w:ascii="Times New Roman" w:hAnsi="Times New Roman" w:cs="Times New Roman"/>
          <w:sz w:val="22"/>
          <w:lang w:val="ru-RU"/>
        </w:rPr>
      </w:pPr>
      <w:r>
        <w:rPr>
          <w:rFonts w:ascii="Times New Roman" w:hAnsi="Times New Roman" w:cs="Times New Roman"/>
          <w:sz w:val="22"/>
          <w:lang w:val="ru-RU"/>
        </w:rPr>
        <w:t>Приобретение и доставка нового наружного металлического дверного блока с коробкой — 1 комплект.</w:t>
      </w:r>
    </w:p>
    <w:p w14:paraId="122799F7">
      <w:pPr>
        <w:pStyle w:val="27"/>
        <w:rPr>
          <w:rFonts w:ascii="Times New Roman" w:hAnsi="Times New Roman" w:cs="Times New Roman"/>
          <w:sz w:val="22"/>
          <w:lang w:val="ru-RU"/>
        </w:rPr>
      </w:pPr>
      <w:r>
        <w:rPr>
          <w:rFonts w:ascii="Times New Roman" w:hAnsi="Times New Roman" w:cs="Times New Roman"/>
          <w:sz w:val="22"/>
          <w:lang w:val="ru-RU"/>
        </w:rPr>
        <w:t>Подготовка проёма и монтаж нового дверного блока — 1 шт.</w:t>
      </w:r>
    </w:p>
    <w:p w14:paraId="144A5A39">
      <w:pPr>
        <w:pStyle w:val="27"/>
        <w:rPr>
          <w:rFonts w:ascii="Times New Roman" w:hAnsi="Times New Roman" w:cs="Times New Roman"/>
          <w:sz w:val="22"/>
          <w:lang w:val="ru-RU"/>
        </w:rPr>
      </w:pPr>
      <w:r>
        <w:rPr>
          <w:rFonts w:ascii="Times New Roman" w:hAnsi="Times New Roman" w:cs="Times New Roman"/>
          <w:sz w:val="22"/>
          <w:lang w:val="ru-RU"/>
        </w:rPr>
        <w:t>Установка и регулировка замков, ручек, петель и доводчика — 1 комплект.</w:t>
      </w:r>
    </w:p>
    <w:p w14:paraId="0373E6BF">
      <w:pPr>
        <w:pStyle w:val="27"/>
        <w:rPr>
          <w:rFonts w:ascii="Times New Roman" w:hAnsi="Times New Roman" w:cs="Times New Roman"/>
          <w:sz w:val="22"/>
          <w:lang w:val="ru-RU"/>
        </w:rPr>
      </w:pPr>
      <w:r>
        <w:rPr>
          <w:rFonts w:ascii="Times New Roman" w:hAnsi="Times New Roman" w:cs="Times New Roman"/>
          <w:sz w:val="22"/>
          <w:lang w:val="ru-RU"/>
        </w:rPr>
        <w:t>Герметизация монтажных швов и зазоров — 1 комплект.</w:t>
      </w:r>
    </w:p>
    <w:p w14:paraId="1067DD0B">
      <w:pPr>
        <w:pStyle w:val="27"/>
        <w:rPr>
          <w:rFonts w:ascii="Times New Roman" w:hAnsi="Times New Roman" w:cs="Times New Roman"/>
          <w:sz w:val="22"/>
          <w:lang w:val="ru-RU"/>
        </w:rPr>
      </w:pPr>
      <w:r>
        <w:rPr>
          <w:rFonts w:ascii="Times New Roman" w:hAnsi="Times New Roman" w:cs="Times New Roman"/>
          <w:sz w:val="22"/>
          <w:lang w:val="ru-RU"/>
        </w:rPr>
        <w:t>Восстановление повреждённых при монтаже откосов — 1 комплект.</w:t>
      </w:r>
    </w:p>
    <w:p w14:paraId="7B97B68D">
      <w:pPr>
        <w:pStyle w:val="3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hAnsi="Times New Roman" w:cs="Times New Roman"/>
          <w:sz w:val="22"/>
          <w:szCs w:val="22"/>
          <w:lang w:val="ru-RU"/>
        </w:rPr>
        <w:t>4. Требования к выполнению работ</w:t>
      </w:r>
    </w:p>
    <w:p w14:paraId="06432AF9">
      <w:pPr>
        <w:rPr>
          <w:rFonts w:ascii="Times New Roman" w:hAnsi="Times New Roman" w:cs="Times New Roman"/>
          <w:sz w:val="22"/>
          <w:lang w:val="ru-RU"/>
        </w:rPr>
      </w:pPr>
      <w:r>
        <w:rPr>
          <w:rFonts w:ascii="Times New Roman" w:hAnsi="Times New Roman" w:cs="Times New Roman"/>
          <w:sz w:val="22"/>
          <w:lang w:val="ru-RU"/>
        </w:rPr>
        <w:t>Перед изготовлением или поставкой двери Подрядчик выполняет фактический замер дверного проёма.</w:t>
      </w:r>
    </w:p>
    <w:p w14:paraId="59D44DB9">
      <w:pPr>
        <w:rPr>
          <w:rFonts w:ascii="Times New Roman" w:hAnsi="Times New Roman" w:cs="Times New Roman"/>
          <w:sz w:val="22"/>
          <w:lang w:val="ru-RU"/>
        </w:rPr>
      </w:pPr>
      <w:r>
        <w:rPr>
          <w:rFonts w:ascii="Times New Roman" w:hAnsi="Times New Roman" w:cs="Times New Roman"/>
          <w:sz w:val="22"/>
          <w:lang w:val="ru-RU"/>
        </w:rPr>
        <w:t>Монтаж должен обеспечивать надёжное крепление коробки, отсутствие перекосов, исправность замков, петель и доводчика, свободное открывание и закрывание, плотное прилегание полотна.</w:t>
      </w:r>
    </w:p>
    <w:p w14:paraId="40B6A60C">
      <w:pPr>
        <w:rPr>
          <w:rFonts w:ascii="Times New Roman" w:hAnsi="Times New Roman" w:cs="Times New Roman"/>
          <w:sz w:val="22"/>
          <w:lang w:val="ru-RU"/>
        </w:rPr>
      </w:pPr>
      <w:r>
        <w:rPr>
          <w:rFonts w:ascii="Times New Roman" w:hAnsi="Times New Roman" w:cs="Times New Roman"/>
          <w:sz w:val="22"/>
          <w:lang w:val="ru-RU"/>
        </w:rPr>
        <w:t>Материалы должны быть пригодны для наружной эксплуатации в климатических условиях города Астаны. Работы выполняются с соблюдением применимых требований охраны труда, строительной и пожарной безопасности Республики Казахстан и безопасности лиц на территории учреждения.</w:t>
      </w:r>
    </w:p>
    <w:p w14:paraId="3A0CED28">
      <w:pPr>
        <w:rPr>
          <w:rFonts w:ascii="Times New Roman" w:hAnsi="Times New Roman" w:cs="Times New Roman"/>
          <w:sz w:val="22"/>
          <w:lang w:val="ru-RU"/>
        </w:rPr>
      </w:pPr>
      <w:r>
        <w:rPr>
          <w:rFonts w:ascii="Times New Roman" w:hAnsi="Times New Roman" w:cs="Times New Roman"/>
          <w:sz w:val="22"/>
          <w:lang w:val="ru-RU"/>
        </w:rPr>
        <w:t>В стоимость работ включаются материалы, комплектующие, доставка, демонтаж, монтаж, восстановление откосов, уборка и вывоз строительного мусора.</w:t>
      </w:r>
    </w:p>
    <w:p w14:paraId="1CF2E65C">
      <w:pPr>
        <w:rPr>
          <w:rFonts w:ascii="Times New Roman" w:hAnsi="Times New Roman" w:cs="Times New Roman"/>
          <w:sz w:val="22"/>
          <w:lang w:val="ru-RU"/>
        </w:rPr>
      </w:pPr>
      <w:r>
        <w:rPr>
          <w:rFonts w:ascii="Times New Roman" w:hAnsi="Times New Roman" w:cs="Times New Roman"/>
          <w:sz w:val="22"/>
          <w:lang w:val="ru-RU"/>
        </w:rPr>
        <w:t>Если проём является эвакуационным выходом, направление открывания и запирающие устройства должны соответствовать применимым требованиям пожарной безопасности.</w:t>
      </w:r>
    </w:p>
    <w:p w14:paraId="2D7C0E32">
      <w:pPr>
        <w:pStyle w:val="3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hAnsi="Times New Roman" w:cs="Times New Roman"/>
          <w:sz w:val="22"/>
          <w:szCs w:val="22"/>
          <w:lang w:val="ru-RU"/>
        </w:rPr>
        <w:t>5. Гарантийные обязательства</w:t>
      </w:r>
    </w:p>
    <w:p w14:paraId="0B39658A">
      <w:pPr>
        <w:rPr>
          <w:rFonts w:ascii="Times New Roman" w:hAnsi="Times New Roman" w:cs="Times New Roman"/>
          <w:sz w:val="22"/>
          <w:lang w:val="ru-RU"/>
        </w:rPr>
      </w:pPr>
      <w:r>
        <w:rPr>
          <w:rFonts w:ascii="Times New Roman" w:hAnsi="Times New Roman" w:cs="Times New Roman"/>
          <w:sz w:val="22"/>
          <w:lang w:val="ru-RU"/>
        </w:rPr>
        <w:t>Гарантийный срок на выполненные работы и установленный дверной блок — не менее 12 месяцев со дня подписания акта приёмки. Недостатки, возникшие по вине Подрядчика в течение гарантийного срока, устраняются за его счёт.</w:t>
      </w:r>
    </w:p>
    <w:p w14:paraId="511A73E4">
      <w:pPr>
        <w:rPr>
          <w:rFonts w:ascii="Times New Roman" w:hAnsi="Times New Roman" w:cs="Times New Roman"/>
          <w:sz w:val="22"/>
          <w:lang w:val="ru-RU"/>
        </w:rPr>
      </w:pPr>
      <w:r>
        <w:rPr>
          <w:rFonts w:ascii="Times New Roman" w:hAnsi="Times New Roman" w:cs="Times New Roman"/>
          <w:b/>
          <w:sz w:val="22"/>
          <w:lang w:val="ru-RU"/>
        </w:rPr>
        <w:t>Результат: полностью установленная, исправная и готовая к эксплуатации наружная металлическая дверь КПП.</w:t>
      </w:r>
    </w:p>
    <w:p w14:paraId="7EDCDF5F">
      <w:pPr>
        <w:rPr>
          <w:rFonts w:ascii="Times New Roman" w:hAnsi="Times New Roman" w:cs="Times New Roman"/>
          <w:sz w:val="22"/>
          <w:lang w:val="ru-RU"/>
        </w:rPr>
      </w:pPr>
      <w:r>
        <w:rPr>
          <w:rFonts w:ascii="Times New Roman" w:hAnsi="Times New Roman" w:cs="Times New Roman"/>
          <w:sz w:val="22"/>
          <w:lang w:val="ru-RU"/>
        </w:rPr>
        <w:br w:type="page"/>
      </w:r>
    </w:p>
    <w:p w14:paraId="7A722EC7">
      <w:pPr>
        <w:jc w:val="center"/>
        <w:rPr>
          <w:rFonts w:ascii="Times New Roman" w:hAnsi="Times New Roman" w:cs="Times New Roman"/>
          <w:sz w:val="22"/>
          <w:lang w:val="ru-RU"/>
        </w:rPr>
      </w:pPr>
      <w:r>
        <w:rPr>
          <w:rFonts w:ascii="Times New Roman" w:hAnsi="Times New Roman" w:cs="Times New Roman"/>
          <w:b/>
          <w:sz w:val="22"/>
          <w:lang w:val="ru-RU"/>
        </w:rPr>
        <w:t>ТЕХНИКАЛЫҚ ЕРЕКШЕЛІК</w:t>
      </w:r>
    </w:p>
    <w:p w14:paraId="09797E75">
      <w:pPr>
        <w:rPr>
          <w:rFonts w:ascii="Times New Roman" w:hAnsi="Times New Roman" w:cs="Times New Roman"/>
          <w:sz w:val="22"/>
          <w:lang w:val="ru-RU"/>
        </w:rPr>
      </w:pPr>
      <w:r>
        <w:rPr>
          <w:rFonts w:ascii="Times New Roman" w:hAnsi="Times New Roman" w:cs="Times New Roman"/>
          <w:b/>
          <w:sz w:val="22"/>
          <w:lang w:val="ru-RU"/>
        </w:rPr>
        <w:t>Бақылау-өткізу пунктінің қолданыстағы сыртқы кіреберіс металл есігін бөлшектеу және жаңа есікті орнату жұмыстарына</w:t>
      </w:r>
    </w:p>
    <w:p w14:paraId="14F51337">
      <w:pPr>
        <w:pStyle w:val="3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hAnsi="Times New Roman" w:cs="Times New Roman"/>
          <w:sz w:val="22"/>
          <w:szCs w:val="22"/>
          <w:lang w:val="ru-RU"/>
        </w:rPr>
        <w:t>1. Жалпы мәліметтер</w:t>
      </w:r>
    </w:p>
    <w:p w14:paraId="18EEEE1D">
      <w:pPr>
        <w:rPr>
          <w:rFonts w:ascii="Times New Roman" w:hAnsi="Times New Roman" w:cs="Times New Roman"/>
          <w:sz w:val="22"/>
          <w:lang w:val="ru-RU"/>
        </w:rPr>
      </w:pPr>
      <w:r>
        <w:rPr>
          <w:rFonts w:ascii="Times New Roman" w:hAnsi="Times New Roman" w:cs="Times New Roman"/>
          <w:sz w:val="22"/>
          <w:lang w:val="ru-RU"/>
        </w:rPr>
        <w:t>Тапсырыс беруші: Астана қаласы әкімдігінің «Дарынды қыз балаларға арналған «Білім-Инновация» лицей-интернаты» КММ.</w:t>
      </w:r>
    </w:p>
    <w:p w14:paraId="21318CCE">
      <w:pPr>
        <w:rPr>
          <w:rFonts w:ascii="Times New Roman" w:hAnsi="Times New Roman" w:cs="Times New Roman"/>
          <w:sz w:val="22"/>
          <w:lang w:val="ru-RU"/>
        </w:rPr>
      </w:pPr>
      <w:r>
        <w:rPr>
          <w:rFonts w:ascii="Times New Roman" w:hAnsi="Times New Roman" w:cs="Times New Roman"/>
          <w:sz w:val="22"/>
          <w:lang w:val="ru-RU"/>
        </w:rPr>
        <w:t>Жұмыстарды орындау орны: Астана қаласы, Бердібек Соқпақбаев көшесі, 17, бақылау-өткізу пункті (БӨП).</w:t>
      </w:r>
    </w:p>
    <w:p w14:paraId="04F36C25">
      <w:pPr>
        <w:rPr>
          <w:rFonts w:ascii="Times New Roman" w:hAnsi="Times New Roman" w:cs="Times New Roman"/>
          <w:sz w:val="22"/>
          <w:lang w:val="ru-RU"/>
        </w:rPr>
      </w:pPr>
      <w:r>
        <w:rPr>
          <w:rFonts w:ascii="Times New Roman" w:hAnsi="Times New Roman" w:cs="Times New Roman"/>
          <w:sz w:val="22"/>
          <w:lang w:val="ru-RU"/>
        </w:rPr>
        <w:t>Көлемі: жиынтықтағы 1 (бір) есік блогын ауыстыру.</w:t>
      </w:r>
    </w:p>
    <w:p w14:paraId="0988687D">
      <w:pPr>
        <w:pStyle w:val="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 Есіктің техникалық сипаттамалары</w:t>
      </w:r>
    </w:p>
    <w:tbl>
      <w:tblPr>
        <w:tblStyle w:val="3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24"/>
        <w:gridCol w:w="3324"/>
        <w:gridCol w:w="3324"/>
      </w:tblGrid>
      <w:tr w14:paraId="4E8640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324" w:type="dxa"/>
          </w:tcPr>
          <w:p w14:paraId="511D3ADB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№</w:t>
            </w:r>
          </w:p>
        </w:tc>
        <w:tc>
          <w:tcPr>
            <w:tcW w:w="3324" w:type="dxa"/>
          </w:tcPr>
          <w:p w14:paraId="6967CD48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Сипаттамасы</w:t>
            </w:r>
          </w:p>
        </w:tc>
        <w:tc>
          <w:tcPr>
            <w:tcW w:w="3324" w:type="dxa"/>
          </w:tcPr>
          <w:p w14:paraId="4E3B284F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Талаптар</w:t>
            </w:r>
          </w:p>
        </w:tc>
      </w:tr>
      <w:tr w14:paraId="5C0487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324" w:type="dxa"/>
          </w:tcPr>
          <w:p w14:paraId="0F700995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3324" w:type="dxa"/>
          </w:tcPr>
          <w:p w14:paraId="582C5332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Есік түрі</w:t>
            </w:r>
          </w:p>
        </w:tc>
        <w:tc>
          <w:tcPr>
            <w:tcW w:w="3324" w:type="dxa"/>
          </w:tcPr>
          <w:p w14:paraId="37809C9A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Сыртқы кіреберіс металл есік, бір жармалы, әйнексіз</w:t>
            </w:r>
          </w:p>
        </w:tc>
      </w:tr>
      <w:tr w14:paraId="660D80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324" w:type="dxa"/>
          </w:tcPr>
          <w:p w14:paraId="34E06479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3324" w:type="dxa"/>
          </w:tcPr>
          <w:p w14:paraId="1F7B3EB7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Ойық өлшемі</w:t>
            </w:r>
          </w:p>
        </w:tc>
        <w:tc>
          <w:tcPr>
            <w:tcW w:w="3324" w:type="dxa"/>
          </w:tcPr>
          <w:p w14:paraId="5621B444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Биіктігі 2000 мм, ені 800 мм; түпкілікті өлшемдер нақты өлшеу бойынша</w:t>
            </w:r>
          </w:p>
        </w:tc>
      </w:tr>
      <w:tr w14:paraId="56346F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324" w:type="dxa"/>
          </w:tcPr>
          <w:p w14:paraId="2F19BC5B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3324" w:type="dxa"/>
          </w:tcPr>
          <w:p w14:paraId="095BB81E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Материалы</w:t>
            </w:r>
          </w:p>
        </w:tc>
        <w:tc>
          <w:tcPr>
            <w:tcW w:w="3324" w:type="dxa"/>
          </w:tcPr>
          <w:p w14:paraId="1EB30E33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Болат</w:t>
            </w:r>
          </w:p>
        </w:tc>
      </w:tr>
      <w:tr w14:paraId="1E5A64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324" w:type="dxa"/>
          </w:tcPr>
          <w:p w14:paraId="34B7AAAC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3324" w:type="dxa"/>
          </w:tcPr>
          <w:p w14:paraId="051B69D2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Сыртқы болат табақтың қалыңдығы</w:t>
            </w:r>
          </w:p>
        </w:tc>
        <w:tc>
          <w:tcPr>
            <w:tcW w:w="3324" w:type="dxa"/>
          </w:tcPr>
          <w:p w14:paraId="07B74EE5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Кемінде 1,5 мм</w:t>
            </w:r>
          </w:p>
        </w:tc>
      </w:tr>
      <w:tr w14:paraId="389D21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324" w:type="dxa"/>
          </w:tcPr>
          <w:p w14:paraId="0CBF5380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3324" w:type="dxa"/>
          </w:tcPr>
          <w:p w14:paraId="22F31A5C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Құрылымы</w:t>
            </w:r>
          </w:p>
        </w:tc>
        <w:tc>
          <w:tcPr>
            <w:tcW w:w="3324" w:type="dxa"/>
          </w:tcPr>
          <w:p w14:paraId="6347127D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Күшейтілген, ішкі қатайтқыш қабырғалары бар</w:t>
            </w:r>
          </w:p>
        </w:tc>
      </w:tr>
      <w:tr w14:paraId="798D0C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324" w:type="dxa"/>
          </w:tcPr>
          <w:p w14:paraId="7F266785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3324" w:type="dxa"/>
          </w:tcPr>
          <w:p w14:paraId="7F5E6667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Есік қорабы</w:t>
            </w:r>
          </w:p>
        </w:tc>
        <w:tc>
          <w:tcPr>
            <w:tcW w:w="3324" w:type="dxa"/>
          </w:tcPr>
          <w:p w14:paraId="638B7ED1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Күшейтілген металл</w:t>
            </w:r>
          </w:p>
        </w:tc>
      </w:tr>
      <w:tr w14:paraId="2063DE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324" w:type="dxa"/>
          </w:tcPr>
          <w:p w14:paraId="33230FD6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3324" w:type="dxa"/>
          </w:tcPr>
          <w:p w14:paraId="632354FD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Жылу оқшаулауы</w:t>
            </w:r>
          </w:p>
        </w:tc>
        <w:tc>
          <w:tcPr>
            <w:tcW w:w="3324" w:type="dxa"/>
          </w:tcPr>
          <w:p w14:paraId="5D805C5A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Жанбайтын жылу оқшаулағыш материал</w:t>
            </w:r>
          </w:p>
        </w:tc>
      </w:tr>
      <w:tr w14:paraId="6C2941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324" w:type="dxa"/>
          </w:tcPr>
          <w:p w14:paraId="3269628F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3324" w:type="dxa"/>
          </w:tcPr>
          <w:p w14:paraId="0FF6CA1D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Құлыптар</w:t>
            </w:r>
          </w:p>
        </w:tc>
        <w:tc>
          <w:tcPr>
            <w:tcW w:w="3324" w:type="dxa"/>
          </w:tcPr>
          <w:p w14:paraId="09B47CED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Қарқынды пайдалануға арналған сенімді құлыптар</w:t>
            </w:r>
          </w:p>
        </w:tc>
      </w:tr>
      <w:tr w14:paraId="2AB804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324" w:type="dxa"/>
          </w:tcPr>
          <w:p w14:paraId="05B0747A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324" w:type="dxa"/>
          </w:tcPr>
          <w:p w14:paraId="5D711202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Топсалар</w:t>
            </w:r>
          </w:p>
        </w:tc>
        <w:tc>
          <w:tcPr>
            <w:tcW w:w="3324" w:type="dxa"/>
          </w:tcPr>
          <w:p w14:paraId="55CCBE93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Есік жармасының салмағына сәйкес күшейтілген</w:t>
            </w:r>
          </w:p>
        </w:tc>
      </w:tr>
      <w:tr w14:paraId="53C9A6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324" w:type="dxa"/>
          </w:tcPr>
          <w:p w14:paraId="70849546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3324" w:type="dxa"/>
          </w:tcPr>
          <w:p w14:paraId="295F8C5A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Есік жапқыш</w:t>
            </w:r>
          </w:p>
        </w:tc>
        <w:tc>
          <w:tcPr>
            <w:tcW w:w="3324" w:type="dxa"/>
          </w:tcPr>
          <w:p w14:paraId="51981E27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Өнеркәсіптік үлгідегі, төмен температурада сыртта пайдалануға жарамды</w:t>
            </w:r>
          </w:p>
        </w:tc>
      </w:tr>
      <w:tr w14:paraId="61D643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324" w:type="dxa"/>
          </w:tcPr>
          <w:p w14:paraId="7A09DD2D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  <w:tc>
          <w:tcPr>
            <w:tcW w:w="3324" w:type="dxa"/>
          </w:tcPr>
          <w:p w14:paraId="6777091F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Тығыздағыш</w:t>
            </w:r>
          </w:p>
        </w:tc>
        <w:tc>
          <w:tcPr>
            <w:tcW w:w="3324" w:type="dxa"/>
          </w:tcPr>
          <w:p w14:paraId="5CA5DB2D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Есік жармасының периметрі бойынша</w:t>
            </w:r>
          </w:p>
        </w:tc>
      </w:tr>
      <w:tr w14:paraId="5D8A18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324" w:type="dxa"/>
          </w:tcPr>
          <w:p w14:paraId="73E01D9C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12</w:t>
            </w:r>
          </w:p>
        </w:tc>
        <w:tc>
          <w:tcPr>
            <w:tcW w:w="3324" w:type="dxa"/>
          </w:tcPr>
          <w:p w14:paraId="77DCDE8F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Жабын</w:t>
            </w:r>
          </w:p>
        </w:tc>
        <w:tc>
          <w:tcPr>
            <w:tcW w:w="3324" w:type="dxa"/>
          </w:tcPr>
          <w:p w14:paraId="6F52FB93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Тозуға және коррозияға төзімді</w:t>
            </w:r>
          </w:p>
        </w:tc>
      </w:tr>
      <w:tr w14:paraId="507BAF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324" w:type="dxa"/>
          </w:tcPr>
          <w:p w14:paraId="15D45E4E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13</w:t>
            </w:r>
          </w:p>
        </w:tc>
        <w:tc>
          <w:tcPr>
            <w:tcW w:w="3324" w:type="dxa"/>
          </w:tcPr>
          <w:p w14:paraId="0F329F9E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Тұтқалар</w:t>
            </w:r>
          </w:p>
        </w:tc>
        <w:tc>
          <w:tcPr>
            <w:tcW w:w="3324" w:type="dxa"/>
          </w:tcPr>
          <w:p w14:paraId="24223C9A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Металл, берік</w:t>
            </w:r>
          </w:p>
        </w:tc>
      </w:tr>
      <w:tr w14:paraId="7961EA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324" w:type="dxa"/>
          </w:tcPr>
          <w:p w14:paraId="340397AB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14</w:t>
            </w:r>
          </w:p>
        </w:tc>
        <w:tc>
          <w:tcPr>
            <w:tcW w:w="3324" w:type="dxa"/>
          </w:tcPr>
          <w:p w14:paraId="08DE51E4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Түсі мен әрленуі</w:t>
            </w:r>
          </w:p>
        </w:tc>
        <w:tc>
          <w:tcPr>
            <w:tcW w:w="3324" w:type="dxa"/>
          </w:tcPr>
          <w:p w14:paraId="53F85857">
            <w:pPr>
              <w:spacing w:line="240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Тапсырыс берушімен келісім бойынша</w:t>
            </w:r>
          </w:p>
        </w:tc>
      </w:tr>
    </w:tbl>
    <w:p w14:paraId="3C6E3C18">
      <w:p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Есік блогы мен жинақтауыштары жаңа, бұрын пайдаланылмаған, зақымсыз және ақаусыз болуы тиіс.</w:t>
      </w:r>
    </w:p>
    <w:p w14:paraId="6C04277A">
      <w:pPr>
        <w:pStyle w:val="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3. Орындалатын жұмыстар тізбесі</w:t>
      </w:r>
    </w:p>
    <w:p w14:paraId="766B6D73">
      <w:pPr>
        <w:pStyle w:val="27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Қолданыстағы металл есік блогын бөлшектеу — 1 дана.</w:t>
      </w:r>
    </w:p>
    <w:p w14:paraId="1252D7FB">
      <w:pPr>
        <w:pStyle w:val="27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Қорабымен бірге жаңа сыртқы металл есік блогын сатып алу және жеткізу — 1 жиынтық.</w:t>
      </w:r>
    </w:p>
    <w:p w14:paraId="0F346DC3">
      <w:pPr>
        <w:pStyle w:val="27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Есік ойығын дайындау және жаңа есік блогын орнату — 1 дана.</w:t>
      </w:r>
    </w:p>
    <w:p w14:paraId="69638071">
      <w:pPr>
        <w:pStyle w:val="27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Құлыптарды, тұтқаларды, топсаларды және есік жапқышты орнату әрі реттеу — 1 жиынтық.</w:t>
      </w:r>
    </w:p>
    <w:p w14:paraId="29436E81">
      <w:pPr>
        <w:pStyle w:val="27"/>
        <w:rPr>
          <w:rFonts w:ascii="Times New Roman" w:hAnsi="Times New Roman" w:cs="Times New Roman"/>
          <w:sz w:val="22"/>
          <w:lang w:val="ru-RU"/>
        </w:rPr>
      </w:pPr>
      <w:r>
        <w:rPr>
          <w:rFonts w:ascii="Times New Roman" w:hAnsi="Times New Roman" w:cs="Times New Roman"/>
          <w:sz w:val="22"/>
          <w:lang w:val="ru-RU"/>
        </w:rPr>
        <w:t>Монтаж жіктері мен саңылауларын герметизациялау — 1 жиынтық.</w:t>
      </w:r>
    </w:p>
    <w:p w14:paraId="1AF32395">
      <w:pPr>
        <w:pStyle w:val="27"/>
        <w:rPr>
          <w:rFonts w:ascii="Times New Roman" w:hAnsi="Times New Roman" w:cs="Times New Roman"/>
          <w:sz w:val="22"/>
          <w:lang w:val="ru-RU"/>
        </w:rPr>
      </w:pPr>
      <w:r>
        <w:rPr>
          <w:rFonts w:ascii="Times New Roman" w:hAnsi="Times New Roman" w:cs="Times New Roman"/>
          <w:sz w:val="22"/>
          <w:lang w:val="ru-RU"/>
        </w:rPr>
        <w:t>Монтаж кезінде зақымдалған есік ойығының еңістерін қалпына келтіру — 1 жиынтық.</w:t>
      </w:r>
    </w:p>
    <w:p w14:paraId="7CA8C100">
      <w:pPr>
        <w:pStyle w:val="3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hAnsi="Times New Roman" w:cs="Times New Roman"/>
          <w:sz w:val="22"/>
          <w:szCs w:val="22"/>
          <w:lang w:val="ru-RU"/>
        </w:rPr>
        <w:t>4. Жұмыстарды орындауға қойылатын талаптар</w:t>
      </w:r>
    </w:p>
    <w:p w14:paraId="71010DD7">
      <w:pPr>
        <w:rPr>
          <w:rFonts w:ascii="Times New Roman" w:hAnsi="Times New Roman" w:cs="Times New Roman"/>
          <w:sz w:val="22"/>
          <w:lang w:val="ru-RU"/>
        </w:rPr>
      </w:pPr>
      <w:r>
        <w:rPr>
          <w:rFonts w:ascii="Times New Roman" w:hAnsi="Times New Roman" w:cs="Times New Roman"/>
          <w:sz w:val="22"/>
          <w:lang w:val="ru-RU"/>
        </w:rPr>
        <w:t>Есікті дайындау немесе жеткізу алдында Мердігер есік ойығының нақты өлшемдерін өлшейді.</w:t>
      </w:r>
    </w:p>
    <w:p w14:paraId="507CE039">
      <w:pPr>
        <w:rPr>
          <w:rFonts w:ascii="Times New Roman" w:hAnsi="Times New Roman" w:cs="Times New Roman"/>
          <w:sz w:val="22"/>
          <w:lang w:val="ru-RU"/>
        </w:rPr>
      </w:pPr>
      <w:r>
        <w:rPr>
          <w:rFonts w:ascii="Times New Roman" w:hAnsi="Times New Roman" w:cs="Times New Roman"/>
          <w:sz w:val="22"/>
          <w:lang w:val="ru-RU"/>
        </w:rPr>
        <w:t>Монтаж есік қорабының сенімді бекітілуін, қисаюдың болмауын, құлыптардың, топсалардың және есік жапқыштың дұрыс жұмыс істеуін, есіктің еркін ашылып-жабылуын және жарманың тығыз жанасуын қамтамасыз етуі тиіс.</w:t>
      </w:r>
    </w:p>
    <w:p w14:paraId="61B2D2EE">
      <w:pPr>
        <w:rPr>
          <w:rFonts w:ascii="Times New Roman" w:hAnsi="Times New Roman" w:cs="Times New Roman"/>
          <w:sz w:val="22"/>
          <w:lang w:val="ru-RU"/>
        </w:rPr>
      </w:pPr>
      <w:r>
        <w:rPr>
          <w:rFonts w:ascii="Times New Roman" w:hAnsi="Times New Roman" w:cs="Times New Roman"/>
          <w:sz w:val="22"/>
          <w:lang w:val="ru-RU"/>
        </w:rPr>
        <w:t>Материалдар Астана қаласының климаттық жағдайларында сыртта пайдалануға жарамды болуы тиіс. Жұмыстар Қазақстан Республикасының еңбек қауіпсіздігі, құрылыс және өрт қауіпсіздігі жөніндегі қолданылатын талаптарын және мекеме аумағындағы адамдардың қауіпсіздігін сақтай отырып орындалады.</w:t>
      </w:r>
    </w:p>
    <w:p w14:paraId="2452E7B4">
      <w:pPr>
        <w:rPr>
          <w:rFonts w:ascii="Times New Roman" w:hAnsi="Times New Roman" w:cs="Times New Roman"/>
          <w:sz w:val="22"/>
          <w:lang w:val="ru-RU"/>
        </w:rPr>
      </w:pPr>
      <w:r>
        <w:rPr>
          <w:rFonts w:ascii="Times New Roman" w:hAnsi="Times New Roman" w:cs="Times New Roman"/>
          <w:sz w:val="22"/>
          <w:lang w:val="ru-RU"/>
        </w:rPr>
        <w:t>Жұмыстар құнына материалдар, жинақтауыштар, жеткізу, бөлшектеу, монтаждау, еңістерді қалпына келтіру, тазалау және құрылыс қалдықтарын шығару кіреді.</w:t>
      </w:r>
    </w:p>
    <w:p w14:paraId="1B8FA5CE">
      <w:pPr>
        <w:rPr>
          <w:rFonts w:ascii="Times New Roman" w:hAnsi="Times New Roman" w:cs="Times New Roman"/>
          <w:sz w:val="22"/>
          <w:lang w:val="ru-RU"/>
        </w:rPr>
      </w:pPr>
      <w:r>
        <w:rPr>
          <w:rFonts w:ascii="Times New Roman" w:hAnsi="Times New Roman" w:cs="Times New Roman"/>
          <w:sz w:val="22"/>
          <w:lang w:val="ru-RU"/>
        </w:rPr>
        <w:t>Егер ойық эвакуациялық шығу жолы болса, есіктің ашылу бағыты мен құлыптау құрылғылары қолданылатын өрт қауіпсіздігі талаптарына сәйкес болуы тиіс.</w:t>
      </w:r>
    </w:p>
    <w:p w14:paraId="70D89943">
      <w:pPr>
        <w:pStyle w:val="3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hAnsi="Times New Roman" w:cs="Times New Roman"/>
          <w:sz w:val="22"/>
          <w:szCs w:val="22"/>
          <w:lang w:val="ru-RU"/>
        </w:rPr>
        <w:t>5. Кепілдік міндеттемелер</w:t>
      </w:r>
    </w:p>
    <w:p w14:paraId="407C9FD8">
      <w:pPr>
        <w:rPr>
          <w:rFonts w:ascii="Times New Roman" w:hAnsi="Times New Roman" w:cs="Times New Roman"/>
          <w:sz w:val="22"/>
          <w:lang w:val="ru-RU"/>
        </w:rPr>
      </w:pPr>
      <w:r>
        <w:rPr>
          <w:rFonts w:ascii="Times New Roman" w:hAnsi="Times New Roman" w:cs="Times New Roman"/>
          <w:sz w:val="22"/>
          <w:lang w:val="ru-RU"/>
        </w:rPr>
        <w:t>Орындалған жұмыстар мен орнатылған есік блогына кепілдік мерзімі қабылдау актісіне қол қойылған күннен бастап кемінде 12 ай. Кепілдік мерзімі ішінде Мердігердің кінәсінен туындаған кемшіліктер оның есебінен жойылады.</w:t>
      </w:r>
    </w:p>
    <w:p w14:paraId="46F329EF">
      <w:pPr>
        <w:rPr>
          <w:rFonts w:ascii="Times New Roman" w:hAnsi="Times New Roman" w:cs="Times New Roman"/>
          <w:sz w:val="22"/>
          <w:lang w:val="ru-RU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2"/>
          <w:lang w:val="ru-RU"/>
        </w:rPr>
        <w:t>Нәтиже: толық орнатылған, жарамды және пайдалануға дайын БӨП-тің сыртқы металл есігі.</w:t>
      </w:r>
    </w:p>
    <w:sectPr>
      <w:pgSz w:w="12240" w:h="15840"/>
      <w:pgMar w:top="964" w:right="1134" w:bottom="964" w:left="1134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ＭＳ 明朝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ourier">
    <w:altName w:val="Courier New"/>
    <w:panose1 w:val="02070309020205020404"/>
    <w:charset w:val="00"/>
    <w:family w:val="auto"/>
    <w:pitch w:val="default"/>
    <w:sig w:usb0="00000000" w:usb1="00000000" w:usb2="00000000" w:usb3="00000000" w:csb0="00000001" w:csb1="00000000"/>
  </w:font>
  <w:font w:name="ＭＳ 明朝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18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28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24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27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22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0F5403"/>
    <w:rsid w:val="0015074B"/>
    <w:rsid w:val="00291B4B"/>
    <w:rsid w:val="0029639D"/>
    <w:rsid w:val="00326F90"/>
    <w:rsid w:val="003344C2"/>
    <w:rsid w:val="00944798"/>
    <w:rsid w:val="009B03D9"/>
    <w:rsid w:val="00A954E8"/>
    <w:rsid w:val="00AA1D8D"/>
    <w:rsid w:val="00B47730"/>
    <w:rsid w:val="00CB0664"/>
    <w:rsid w:val="00FC693F"/>
    <w:rsid w:val="79B57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efaultImageDpi w14:val="300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semiHidden="0" w:name="macro"/>
    <w:lsdException w:uiPriority="99" w:name="toa heading"/>
    <w:lsdException w:uiPriority="99" w:semiHidden="0" w:name="List"/>
    <w:lsdException w:uiPriority="99" w:semiHidden="0" w:name="List Bullet"/>
    <w:lsdException w:uiPriority="99" w:semiHidden="0" w:name="List Number"/>
    <w:lsdException w:uiPriority="99" w:semiHidden="0" w:name="List 2"/>
    <w:lsdException w:uiPriority="99" w:semiHidden="0" w:name="List 3"/>
    <w:lsdException w:uiPriority="99" w:name="List 4"/>
    <w:lsdException w:uiPriority="99" w:name="List 5"/>
    <w:lsdException w:uiPriority="99" w:semiHidden="0" w:name="List Bullet 2"/>
    <w:lsdException w:uiPriority="99" w:semiHidden="0" w:name="List Bullet 3"/>
    <w:lsdException w:uiPriority="99" w:name="List Bullet 4"/>
    <w:lsdException w:uiPriority="99" w:name="List Bullet 5"/>
    <w:lsdException w:uiPriority="99" w:semiHidden="0" w:name="List Number 2"/>
    <w:lsdException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semiHidden="0" w:name="Body Text"/>
    <w:lsdException w:uiPriority="99" w:name="Body Text Indent"/>
    <w:lsdException w:uiPriority="99" w:semiHidden="0" w:name="List Continue"/>
    <w:lsdException w:uiPriority="99" w:semiHidden="0" w:name="List Continue 2"/>
    <w:lsdException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semiHidden="0" w:name="Body Text 2"/>
    <w:lsdException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00" w:line="276" w:lineRule="auto"/>
    </w:pPr>
    <w:rPr>
      <w:rFonts w:ascii="Arial" w:hAnsi="Arial" w:eastAsiaTheme="minorEastAsia" w:cstheme="minorBidi"/>
      <w:sz w:val="18"/>
      <w:szCs w:val="22"/>
      <w:lang w:val="en-US" w:eastAsia="en-US" w:bidi="ar-SA"/>
    </w:rPr>
  </w:style>
  <w:style w:type="paragraph" w:styleId="2">
    <w:name w:val="heading 1"/>
    <w:basedOn w:val="1"/>
    <w:next w:val="1"/>
    <w:link w:val="40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1A344C"/>
      <w:sz w:val="28"/>
      <w:szCs w:val="28"/>
    </w:rPr>
  </w:style>
  <w:style w:type="paragraph" w:styleId="3">
    <w:name w:val="heading 2"/>
    <w:basedOn w:val="1"/>
    <w:next w:val="1"/>
    <w:link w:val="41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1A344C"/>
      <w:sz w:val="26"/>
      <w:szCs w:val="26"/>
    </w:rPr>
  </w:style>
  <w:style w:type="paragraph" w:styleId="4">
    <w:name w:val="heading 3"/>
    <w:basedOn w:val="1"/>
    <w:next w:val="1"/>
    <w:link w:val="42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5">
    <w:name w:val="heading 4"/>
    <w:basedOn w:val="1"/>
    <w:next w:val="1"/>
    <w:link w:val="52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5"/>
    <w:basedOn w:val="1"/>
    <w:next w:val="1"/>
    <w:link w:val="53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7">
    <w:name w:val="heading 6"/>
    <w:basedOn w:val="1"/>
    <w:next w:val="1"/>
    <w:link w:val="54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8">
    <w:name w:val="heading 7"/>
    <w:basedOn w:val="1"/>
    <w:next w:val="1"/>
    <w:link w:val="55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9">
    <w:name w:val="heading 8"/>
    <w:basedOn w:val="1"/>
    <w:next w:val="1"/>
    <w:link w:val="56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0">
    <w:name w:val="heading 9"/>
    <w:basedOn w:val="1"/>
    <w:next w:val="1"/>
    <w:link w:val="57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1">
    <w:name w:val="Default Paragraph Font"/>
    <w:semiHidden/>
    <w:unhideWhenUsed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Emphasis"/>
    <w:basedOn w:val="11"/>
    <w:qFormat/>
    <w:uiPriority w:val="20"/>
    <w:rPr>
      <w:i/>
      <w:iCs/>
    </w:rPr>
  </w:style>
  <w:style w:type="character" w:styleId="14">
    <w:name w:val="Strong"/>
    <w:basedOn w:val="11"/>
    <w:qFormat/>
    <w:uiPriority w:val="22"/>
    <w:rPr>
      <w:b/>
      <w:bCs/>
    </w:rPr>
  </w:style>
  <w:style w:type="paragraph" w:styleId="15">
    <w:name w:val="List Continue"/>
    <w:basedOn w:val="1"/>
    <w:unhideWhenUsed/>
    <w:uiPriority w:val="99"/>
    <w:pPr>
      <w:spacing w:after="120"/>
      <w:ind w:left="360"/>
      <w:contextualSpacing/>
    </w:pPr>
  </w:style>
  <w:style w:type="paragraph" w:styleId="16">
    <w:name w:val="Body Text 2"/>
    <w:basedOn w:val="1"/>
    <w:link w:val="47"/>
    <w:unhideWhenUsed/>
    <w:uiPriority w:val="99"/>
    <w:pPr>
      <w:spacing w:after="120" w:line="480" w:lineRule="auto"/>
    </w:pPr>
  </w:style>
  <w:style w:type="paragraph" w:styleId="17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Cs w:val="18"/>
      <w14:textFill>
        <w14:solidFill>
          <w14:schemeClr w14:val="accent1"/>
        </w14:solidFill>
      </w14:textFill>
    </w:rPr>
  </w:style>
  <w:style w:type="paragraph" w:styleId="18">
    <w:name w:val="List Number 3"/>
    <w:basedOn w:val="1"/>
    <w:unhideWhenUsed/>
    <w:uiPriority w:val="99"/>
    <w:pPr>
      <w:numPr>
        <w:ilvl w:val="0"/>
        <w:numId w:val="1"/>
      </w:numPr>
      <w:contextualSpacing/>
    </w:pPr>
  </w:style>
  <w:style w:type="paragraph" w:styleId="19">
    <w:name w:val="header"/>
    <w:basedOn w:val="1"/>
    <w:link w:val="37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0">
    <w:name w:val="Body Text"/>
    <w:basedOn w:val="1"/>
    <w:link w:val="46"/>
    <w:unhideWhenUsed/>
    <w:uiPriority w:val="99"/>
    <w:pPr>
      <w:spacing w:after="120"/>
    </w:pPr>
  </w:style>
  <w:style w:type="paragraph" w:styleId="21">
    <w:name w:val="macro"/>
    <w:link w:val="49"/>
    <w:unhideWhenUsed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22">
    <w:name w:val="List Bullet"/>
    <w:basedOn w:val="1"/>
    <w:unhideWhenUsed/>
    <w:uiPriority w:val="99"/>
    <w:pPr>
      <w:numPr>
        <w:ilvl w:val="0"/>
        <w:numId w:val="2"/>
      </w:numPr>
      <w:contextualSpacing/>
    </w:pPr>
  </w:style>
  <w:style w:type="paragraph" w:styleId="23">
    <w:name w:val="List Bullet 2"/>
    <w:basedOn w:val="1"/>
    <w:unhideWhenUsed/>
    <w:uiPriority w:val="99"/>
    <w:pPr>
      <w:numPr>
        <w:ilvl w:val="0"/>
        <w:numId w:val="3"/>
      </w:numPr>
      <w:contextualSpacing/>
    </w:pPr>
  </w:style>
  <w:style w:type="paragraph" w:styleId="24">
    <w:name w:val="List Bullet 3"/>
    <w:basedOn w:val="1"/>
    <w:unhideWhenUsed/>
    <w:uiPriority w:val="99"/>
    <w:pPr>
      <w:numPr>
        <w:ilvl w:val="0"/>
        <w:numId w:val="4"/>
      </w:numPr>
      <w:contextualSpacing/>
    </w:pPr>
  </w:style>
  <w:style w:type="paragraph" w:styleId="25">
    <w:name w:val="Title"/>
    <w:basedOn w:val="1"/>
    <w:next w:val="1"/>
    <w:link w:val="43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paragraph" w:styleId="26">
    <w:name w:val="footer"/>
    <w:basedOn w:val="1"/>
    <w:link w:val="38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7">
    <w:name w:val="List Number"/>
    <w:basedOn w:val="1"/>
    <w:unhideWhenUsed/>
    <w:uiPriority w:val="99"/>
    <w:pPr>
      <w:numPr>
        <w:ilvl w:val="0"/>
        <w:numId w:val="5"/>
      </w:numPr>
      <w:contextualSpacing/>
    </w:pPr>
  </w:style>
  <w:style w:type="paragraph" w:styleId="28">
    <w:name w:val="List Number 2"/>
    <w:basedOn w:val="1"/>
    <w:unhideWhenUsed/>
    <w:uiPriority w:val="99"/>
    <w:pPr>
      <w:numPr>
        <w:ilvl w:val="0"/>
        <w:numId w:val="6"/>
      </w:numPr>
      <w:contextualSpacing/>
    </w:pPr>
  </w:style>
  <w:style w:type="paragraph" w:styleId="29">
    <w:name w:val="List"/>
    <w:basedOn w:val="1"/>
    <w:unhideWhenUsed/>
    <w:uiPriority w:val="99"/>
    <w:pPr>
      <w:ind w:left="360" w:hanging="360"/>
      <w:contextualSpacing/>
    </w:pPr>
  </w:style>
  <w:style w:type="paragraph" w:styleId="30">
    <w:name w:val="Body Text 3"/>
    <w:basedOn w:val="1"/>
    <w:link w:val="48"/>
    <w:unhideWhenUsed/>
    <w:uiPriority w:val="99"/>
    <w:pPr>
      <w:spacing w:after="120"/>
    </w:pPr>
    <w:rPr>
      <w:sz w:val="16"/>
      <w:szCs w:val="16"/>
    </w:rPr>
  </w:style>
  <w:style w:type="paragraph" w:styleId="31">
    <w:name w:val="Subtitle"/>
    <w:basedOn w:val="1"/>
    <w:next w:val="1"/>
    <w:link w:val="44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32">
    <w:name w:val="List Continue 2"/>
    <w:basedOn w:val="1"/>
    <w:unhideWhenUsed/>
    <w:uiPriority w:val="99"/>
    <w:pPr>
      <w:spacing w:after="120"/>
      <w:ind w:left="720"/>
      <w:contextualSpacing/>
    </w:pPr>
  </w:style>
  <w:style w:type="paragraph" w:styleId="33">
    <w:name w:val="List Continue 3"/>
    <w:basedOn w:val="1"/>
    <w:unhideWhenUsed/>
    <w:uiPriority w:val="99"/>
    <w:pPr>
      <w:spacing w:after="120"/>
      <w:ind w:left="1080"/>
      <w:contextualSpacing/>
    </w:pPr>
  </w:style>
  <w:style w:type="paragraph" w:styleId="34">
    <w:name w:val="List 2"/>
    <w:basedOn w:val="1"/>
    <w:unhideWhenUsed/>
    <w:uiPriority w:val="99"/>
    <w:pPr>
      <w:ind w:left="720" w:hanging="360"/>
      <w:contextualSpacing/>
    </w:pPr>
  </w:style>
  <w:style w:type="paragraph" w:styleId="35">
    <w:name w:val="List 3"/>
    <w:basedOn w:val="1"/>
    <w:unhideWhenUsed/>
    <w:uiPriority w:val="99"/>
    <w:pPr>
      <w:ind w:left="1080" w:hanging="360"/>
      <w:contextualSpacing/>
    </w:pPr>
  </w:style>
  <w:style w:type="table" w:styleId="36">
    <w:name w:val="Table Grid"/>
    <w:basedOn w:val="12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37">
    <w:name w:val="Верхний колонтитул Знак"/>
    <w:basedOn w:val="11"/>
    <w:link w:val="19"/>
    <w:uiPriority w:val="99"/>
  </w:style>
  <w:style w:type="character" w:customStyle="1" w:styleId="38">
    <w:name w:val="Нижний колонтитул Знак"/>
    <w:basedOn w:val="11"/>
    <w:link w:val="26"/>
    <w:uiPriority w:val="99"/>
  </w:style>
  <w:style w:type="paragraph" w:styleId="39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40">
    <w:name w:val="Заголовок 1 Знак"/>
    <w:basedOn w:val="11"/>
    <w:link w:val="2"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41">
    <w:name w:val="Заголовок 2 Знак"/>
    <w:basedOn w:val="11"/>
    <w:link w:val="3"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42">
    <w:name w:val="Заголовок 3 Знак"/>
    <w:basedOn w:val="11"/>
    <w:link w:val="4"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43">
    <w:name w:val="Заголовок Знак"/>
    <w:basedOn w:val="11"/>
    <w:link w:val="25"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44">
    <w:name w:val="Подзаголовок Знак"/>
    <w:basedOn w:val="11"/>
    <w:link w:val="31"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45">
    <w:name w:val="List Paragraph"/>
    <w:basedOn w:val="1"/>
    <w:qFormat/>
    <w:uiPriority w:val="34"/>
    <w:pPr>
      <w:ind w:left="720"/>
      <w:contextualSpacing/>
    </w:pPr>
  </w:style>
  <w:style w:type="character" w:customStyle="1" w:styleId="46">
    <w:name w:val="Основной текст Знак"/>
    <w:basedOn w:val="11"/>
    <w:link w:val="20"/>
    <w:uiPriority w:val="99"/>
  </w:style>
  <w:style w:type="character" w:customStyle="1" w:styleId="47">
    <w:name w:val="Основной текст 2 Знак"/>
    <w:basedOn w:val="11"/>
    <w:link w:val="16"/>
    <w:uiPriority w:val="99"/>
  </w:style>
  <w:style w:type="character" w:customStyle="1" w:styleId="48">
    <w:name w:val="Основной текст 3 Знак"/>
    <w:basedOn w:val="11"/>
    <w:link w:val="30"/>
    <w:uiPriority w:val="99"/>
    <w:rPr>
      <w:sz w:val="16"/>
      <w:szCs w:val="16"/>
    </w:rPr>
  </w:style>
  <w:style w:type="character" w:customStyle="1" w:styleId="49">
    <w:name w:val="Текст макроса Знак"/>
    <w:basedOn w:val="11"/>
    <w:link w:val="21"/>
    <w:uiPriority w:val="99"/>
    <w:rPr>
      <w:rFonts w:ascii="Courier" w:hAnsi="Courier"/>
      <w:sz w:val="20"/>
      <w:szCs w:val="20"/>
    </w:rPr>
  </w:style>
  <w:style w:type="paragraph" w:styleId="50">
    <w:name w:val="Quote"/>
    <w:basedOn w:val="1"/>
    <w:next w:val="1"/>
    <w:link w:val="51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51">
    <w:name w:val="Цитата 2 Знак"/>
    <w:basedOn w:val="11"/>
    <w:link w:val="50"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52">
    <w:name w:val="Заголовок 4 Знак"/>
    <w:basedOn w:val="11"/>
    <w:link w:val="5"/>
    <w:semiHidden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53">
    <w:name w:val="Заголовок 5 Знак"/>
    <w:basedOn w:val="11"/>
    <w:link w:val="6"/>
    <w:semiHidden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54">
    <w:name w:val="Заголовок 6 Знак"/>
    <w:basedOn w:val="11"/>
    <w:link w:val="7"/>
    <w:semiHidden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55">
    <w:name w:val="Заголовок 7 Знак"/>
    <w:basedOn w:val="11"/>
    <w:link w:val="8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56">
    <w:name w:val="Заголовок 8 Знак"/>
    <w:basedOn w:val="11"/>
    <w:link w:val="9"/>
    <w:semiHidden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57">
    <w:name w:val="Заголовок 9 Знак"/>
    <w:basedOn w:val="11"/>
    <w:link w:val="10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58">
    <w:name w:val="Intense Quote"/>
    <w:basedOn w:val="1"/>
    <w:next w:val="1"/>
    <w:link w:val="59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59">
    <w:name w:val="Выделенная цитата Знак"/>
    <w:basedOn w:val="11"/>
    <w:link w:val="58"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60">
    <w:name w:val="Subtle Emphasis"/>
    <w:basedOn w:val="11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61">
    <w:name w:val="Intense Emphasis"/>
    <w:basedOn w:val="11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62">
    <w:name w:val="Subtle Reference"/>
    <w:basedOn w:val="11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63">
    <w:name w:val="Intense Reference"/>
    <w:basedOn w:val="11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64">
    <w:name w:val="Book Title"/>
    <w:basedOn w:val="11"/>
    <w:qFormat/>
    <w:uiPriority w:val="33"/>
    <w:rPr>
      <w:b/>
      <w:bCs/>
      <w:smallCaps/>
      <w:spacing w:val="5"/>
    </w:rPr>
  </w:style>
  <w:style w:type="paragraph" w:customStyle="1" w:styleId="65">
    <w:name w:val="TOC Heading"/>
    <w:basedOn w:val="2"/>
    <w:next w:val="1"/>
    <w:semiHidden/>
    <w:unhideWhenUsed/>
    <w:qFormat/>
    <w:uiPriority w:val="39"/>
    <w:pPr>
      <w:outlineLvl w:val="9"/>
    </w:pPr>
  </w:style>
  <w:style w:type="table" w:styleId="66">
    <w:name w:val="Light Shading"/>
    <w:basedOn w:val="12"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67">
    <w:name w:val="Light Shading Accent 1"/>
    <w:basedOn w:val="12"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68">
    <w:name w:val="Light Shading Accent 2"/>
    <w:basedOn w:val="12"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69">
    <w:name w:val="Light Shading Accent 3"/>
    <w:basedOn w:val="12"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70">
    <w:name w:val="Light Shading Accent 4"/>
    <w:basedOn w:val="12"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71">
    <w:name w:val="Light Shading Accent 5"/>
    <w:basedOn w:val="12"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72">
    <w:name w:val="Light Shading Accent 6"/>
    <w:basedOn w:val="12"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73">
    <w:name w:val="Light List"/>
    <w:basedOn w:val="12"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74">
    <w:name w:val="Light List Accent 1"/>
    <w:basedOn w:val="12"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75">
    <w:name w:val="Light List Accent 2"/>
    <w:basedOn w:val="12"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76">
    <w:name w:val="Light List Accent 3"/>
    <w:basedOn w:val="12"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77">
    <w:name w:val="Light List Accent 4"/>
    <w:basedOn w:val="12"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78">
    <w:name w:val="Light List Accent 5"/>
    <w:basedOn w:val="12"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79">
    <w:name w:val="Light List Accent 6"/>
    <w:basedOn w:val="12"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80">
    <w:name w:val="Light Grid"/>
    <w:basedOn w:val="12"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81">
    <w:name w:val="Light Grid Accent 1"/>
    <w:basedOn w:val="12"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82">
    <w:name w:val="Light Grid Accent 2"/>
    <w:basedOn w:val="12"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83">
    <w:name w:val="Light Grid Accent 3"/>
    <w:basedOn w:val="12"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84">
    <w:name w:val="Light Grid Accent 4"/>
    <w:basedOn w:val="12"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85">
    <w:name w:val="Light Grid Accent 5"/>
    <w:basedOn w:val="12"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86">
    <w:name w:val="Light Grid Accent 6"/>
    <w:basedOn w:val="12"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87">
    <w:name w:val="Medium Shading 1"/>
    <w:basedOn w:val="12"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BFBFBF" w:themeFill="text1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88">
    <w:name w:val="Medium Shading 1 Accent 1"/>
    <w:basedOn w:val="12"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3DFEE" w:themeFill="accent1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89">
    <w:name w:val="Medium Shading 1 Accent 2"/>
    <w:basedOn w:val="12"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EFD3D3" w:themeFill="accent2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0">
    <w:name w:val="Medium Shading 1 Accent 3"/>
    <w:basedOn w:val="12"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E6EED5" w:themeFill="accent3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1">
    <w:name w:val="Medium Shading 1 Accent 4"/>
    <w:basedOn w:val="12"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FD8E8" w:themeFill="accent4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2">
    <w:name w:val="Medium Shading 1 Accent 5"/>
    <w:basedOn w:val="12"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2EAF0" w:themeFill="accent5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3">
    <w:name w:val="Medium Shading 1 Accent 6"/>
    <w:basedOn w:val="12"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DE5D1" w:themeFill="accent6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4">
    <w:name w:val="Medium Shading 2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5">
    <w:name w:val="Medium Shading 2 Accent 1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6">
    <w:name w:val="Medium Shading 2 Accent 2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7">
    <w:name w:val="Medium Shading 2 Accent 3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8">
    <w:name w:val="Medium Shading 2 Accent 4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9">
    <w:name w:val="Medium Shading 2 Accent 5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00">
    <w:name w:val="Medium Shading 2 Accent 6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01">
    <w:name w:val="Medium List 1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cPr>
        <w:shd w:val="clear" w:color="auto" w:fill="BFBFBF" w:themeFill="text1" w:themeFillTint="3F"/>
      </w:tcPr>
    </w:tblStylePr>
    <w:tblStylePr w:type="band1Horz">
      <w:tcPr>
        <w:shd w:val="clear" w:color="auto" w:fill="BFBFBF" w:themeFill="text1" w:themeFillTint="3F"/>
      </w:tcPr>
    </w:tblStylePr>
  </w:style>
  <w:style w:type="table" w:styleId="102">
    <w:name w:val="Medium List 1 Accent 1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cPr>
        <w:shd w:val="clear" w:color="auto" w:fill="D3DFEE" w:themeFill="accent1" w:themeFillTint="3F"/>
      </w:tcPr>
    </w:tblStylePr>
    <w:tblStylePr w:type="band1Horz">
      <w:tcPr>
        <w:shd w:val="clear" w:color="auto" w:fill="D3DFEE" w:themeFill="accent1" w:themeFillTint="3F"/>
      </w:tcPr>
    </w:tblStylePr>
  </w:style>
  <w:style w:type="table" w:styleId="103">
    <w:name w:val="Medium List 1 Accent 2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cPr>
        <w:shd w:val="clear" w:color="auto" w:fill="EFD3D3" w:themeFill="accent2" w:themeFillTint="3F"/>
      </w:tcPr>
    </w:tblStylePr>
    <w:tblStylePr w:type="band1Horz">
      <w:tcPr>
        <w:shd w:val="clear" w:color="auto" w:fill="EFD3D3" w:themeFill="accent2" w:themeFillTint="3F"/>
      </w:tcPr>
    </w:tblStylePr>
  </w:style>
  <w:style w:type="table" w:styleId="104">
    <w:name w:val="Medium List 1 Accent 3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cPr>
        <w:shd w:val="clear" w:color="auto" w:fill="E6EED5" w:themeFill="accent3" w:themeFillTint="3F"/>
      </w:tcPr>
    </w:tblStylePr>
    <w:tblStylePr w:type="band1Horz">
      <w:tcPr>
        <w:shd w:val="clear" w:color="auto" w:fill="E6EED5" w:themeFill="accent3" w:themeFillTint="3F"/>
      </w:tcPr>
    </w:tblStylePr>
  </w:style>
  <w:style w:type="table" w:styleId="105">
    <w:name w:val="Medium List 1 Accent 4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cPr>
        <w:shd w:val="clear" w:color="auto" w:fill="DFD8E8" w:themeFill="accent4" w:themeFillTint="3F"/>
      </w:tcPr>
    </w:tblStylePr>
    <w:tblStylePr w:type="band1Horz">
      <w:tcPr>
        <w:shd w:val="clear" w:color="auto" w:fill="DFD8E8" w:themeFill="accent4" w:themeFillTint="3F"/>
      </w:tcPr>
    </w:tblStylePr>
  </w:style>
  <w:style w:type="table" w:styleId="106">
    <w:name w:val="Medium List 1 Accent 5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cPr>
        <w:shd w:val="clear" w:color="auto" w:fill="D2EAF0" w:themeFill="accent5" w:themeFillTint="3F"/>
      </w:tcPr>
    </w:tblStylePr>
    <w:tblStylePr w:type="band1Horz">
      <w:tcPr>
        <w:shd w:val="clear" w:color="auto" w:fill="D2EAF0" w:themeFill="accent5" w:themeFillTint="3F"/>
      </w:tcPr>
    </w:tblStylePr>
  </w:style>
  <w:style w:type="table" w:styleId="107">
    <w:name w:val="Medium List 1 Accent 6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cPr>
        <w:shd w:val="clear" w:color="auto" w:fill="FDE5D1" w:themeFill="accent6" w:themeFillTint="3F"/>
      </w:tcPr>
    </w:tblStylePr>
    <w:tblStylePr w:type="band1Horz">
      <w:tcPr>
        <w:shd w:val="clear" w:color="auto" w:fill="FDE5D1" w:themeFill="accent6" w:themeFillTint="3F"/>
      </w:tcPr>
    </w:tblStylePr>
  </w:style>
  <w:style w:type="table" w:styleId="108">
    <w:name w:val="Medium List 2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09">
    <w:name w:val="Medium List 2 Accent 1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0">
    <w:name w:val="Medium List 2 Accent 2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1">
    <w:name w:val="Medium List 2 Accent 3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2">
    <w:name w:val="Medium List 2 Accent 4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3">
    <w:name w:val="Medium List 2 Accent 5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4">
    <w:name w:val="Medium List 2 Accent 6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5">
    <w:name w:val="Medium Grid 1"/>
    <w:basedOn w:val="12"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7F7F7F" w:themeFill="text1" w:themeFillTint="7F"/>
      </w:tcPr>
    </w:tblStylePr>
    <w:tblStylePr w:type="band1Horz">
      <w:tcPr>
        <w:shd w:val="clear" w:color="auto" w:fill="7F7F7F" w:themeFill="text1" w:themeFillTint="7F"/>
      </w:tcPr>
    </w:tblStylePr>
  </w:style>
  <w:style w:type="table" w:styleId="116">
    <w:name w:val="Medium Grid 1 Accent 1"/>
    <w:basedOn w:val="12"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A7C0DE" w:themeFill="accent1" w:themeFillTint="7F"/>
      </w:tcPr>
    </w:tblStylePr>
    <w:tblStylePr w:type="band1Horz">
      <w:tcPr>
        <w:shd w:val="clear" w:color="auto" w:fill="A7C0DE" w:themeFill="accent1" w:themeFillTint="7F"/>
      </w:tcPr>
    </w:tblStylePr>
  </w:style>
  <w:style w:type="table" w:styleId="117">
    <w:name w:val="Medium Grid 1 Accent 2"/>
    <w:basedOn w:val="12"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FA7A6" w:themeFill="accent2" w:themeFillTint="7F"/>
      </w:tcPr>
    </w:tblStylePr>
    <w:tblStylePr w:type="band1Horz">
      <w:tcPr>
        <w:shd w:val="clear" w:color="auto" w:fill="DFA7A6" w:themeFill="accent2" w:themeFillTint="7F"/>
      </w:tcPr>
    </w:tblStylePr>
  </w:style>
  <w:style w:type="table" w:styleId="118">
    <w:name w:val="Medium Grid 1 Accent 3"/>
    <w:basedOn w:val="12"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CDDDAC" w:themeFill="accent3" w:themeFillTint="7F"/>
      </w:tcPr>
    </w:tblStylePr>
    <w:tblStylePr w:type="band1Horz">
      <w:tcPr>
        <w:shd w:val="clear" w:color="auto" w:fill="CDDDAC" w:themeFill="accent3" w:themeFillTint="7F"/>
      </w:tcPr>
    </w:tblStylePr>
  </w:style>
  <w:style w:type="table" w:styleId="119">
    <w:name w:val="Medium Grid 1 Accent 4"/>
    <w:basedOn w:val="12"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BFB1D0" w:themeFill="accent4" w:themeFillTint="7F"/>
      </w:tcPr>
    </w:tblStylePr>
    <w:tblStylePr w:type="band1Horz">
      <w:tcPr>
        <w:shd w:val="clear" w:color="auto" w:fill="BFB1D0" w:themeFill="accent4" w:themeFillTint="7F"/>
      </w:tcPr>
    </w:tblStylePr>
  </w:style>
  <w:style w:type="table" w:styleId="120">
    <w:name w:val="Medium Grid 1 Accent 5"/>
    <w:basedOn w:val="12"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A5D5E2" w:themeFill="accent5" w:themeFillTint="7F"/>
      </w:tcPr>
    </w:tblStylePr>
    <w:tblStylePr w:type="band1Horz">
      <w:tcPr>
        <w:shd w:val="clear" w:color="auto" w:fill="A5D5E2" w:themeFill="accent5" w:themeFillTint="7F"/>
      </w:tcPr>
    </w:tblStylePr>
  </w:style>
  <w:style w:type="table" w:styleId="121">
    <w:name w:val="Medium Grid 1 Accent 6"/>
    <w:basedOn w:val="12"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BCAA2" w:themeFill="accent6" w:themeFillTint="7F"/>
      </w:tcPr>
    </w:tblStylePr>
    <w:tblStylePr w:type="band1Horz">
      <w:tcPr>
        <w:shd w:val="clear" w:color="auto" w:fill="FBCAA2" w:themeFill="accent6" w:themeFillTint="7F"/>
      </w:tcPr>
    </w:tblStylePr>
  </w:style>
  <w:style w:type="table" w:styleId="122">
    <w:name w:val="Medium Grid 2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cPr>
        <w:shd w:val="clear" w:color="auto" w:fill="7F7F7F" w:themeFill="text1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3">
    <w:name w:val="Medium Grid 2 Accent 1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cPr>
        <w:shd w:val="clear" w:color="auto" w:fill="A7C0DE" w:themeFill="accent1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4">
    <w:name w:val="Medium Grid 2 Accent 2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cPr>
        <w:shd w:val="clear" w:color="auto" w:fill="DFA7A6" w:themeFill="accent2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5">
    <w:name w:val="Medium Grid 2 Accent 3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cPr>
        <w:shd w:val="clear" w:color="auto" w:fill="CDDDAC" w:themeFill="accent3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6">
    <w:name w:val="Medium Grid 2 Accent 4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cPr>
        <w:shd w:val="clear" w:color="auto" w:fill="BFB1D0" w:themeFill="accent4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7">
    <w:name w:val="Medium Grid 2 Accent 5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cPr>
        <w:shd w:val="clear" w:color="auto" w:fill="A5D5E2" w:themeFill="accent5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8">
    <w:name w:val="Medium Grid 2 Accent 6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cPr>
        <w:shd w:val="clear" w:color="auto" w:fill="FBCAA2" w:themeFill="accent6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9">
    <w:name w:val="Medium Grid 3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130">
    <w:name w:val="Medium Grid 3 Accent 1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131">
    <w:name w:val="Medium Grid 3 Accent 2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32">
    <w:name w:val="Medium Grid 3 Accent 3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33">
    <w:name w:val="Medium Grid 3 Accent 4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34">
    <w:name w:val="Medium Grid 3 Accent 5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35">
    <w:name w:val="Medium Grid 3 Accent 6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36">
    <w:name w:val="Dark List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cPr>
      <w:shd w:val="clear" w:color="auto" w:fill="000000" w:themeFill="text1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37">
    <w:name w:val="Dark List Accent 1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cPr>
      <w:shd w:val="clear" w:color="auto" w:fill="4F81BD" w:themeFill="accent1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38">
    <w:name w:val="Dark List Accent 2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cPr>
      <w:shd w:val="clear" w:color="auto" w:fill="C0504D" w:themeFill="accent2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39">
    <w:name w:val="Dark List Accent 3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cPr>
      <w:shd w:val="clear" w:color="auto" w:fill="9BBB59" w:themeFill="accent3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40">
    <w:name w:val="Dark List Accent 4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cPr>
      <w:shd w:val="clear" w:color="auto" w:fill="8064A2" w:themeFill="accent4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41">
    <w:name w:val="Dark List Accent 5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cPr>
      <w:shd w:val="clear" w:color="auto" w:fill="4BACC6" w:themeFill="accent5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42">
    <w:name w:val="Dark List Accent 6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cPr>
      <w:shd w:val="clear" w:color="auto" w:fill="F79646" w:themeFill="accent6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43">
    <w:name w:val="Colorful Shading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5E5E5" w:themeFill="text1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cPr>
        <w:shd w:val="clear" w:color="auto" w:fill="999999" w:themeFill="text1" w:themeFillTint="66"/>
      </w:tcPr>
    </w:tblStylePr>
    <w:tblStylePr w:type="band1Horz"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44">
    <w:name w:val="Colorful Shading Accent 1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cPr>
        <w:shd w:val="clear" w:color="auto" w:fill="B8CCE4" w:themeFill="accent1" w:themeFillTint="66"/>
      </w:tcPr>
    </w:tblStylePr>
    <w:tblStylePr w:type="band1Horz"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45">
    <w:name w:val="Colorful Shading Accent 2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cPr>
        <w:shd w:val="clear" w:color="auto" w:fill="E5B8B7" w:themeFill="accent2" w:themeFillTint="66"/>
      </w:tcPr>
    </w:tblStylePr>
    <w:tblStylePr w:type="band1Horz"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46">
    <w:name w:val="Colorful Shading Accent 3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cPr>
        <w:shd w:val="clear" w:color="auto" w:fill="D6E3BC" w:themeFill="accent3" w:themeFillTint="66"/>
      </w:tcPr>
    </w:tblStylePr>
    <w:tblStylePr w:type="band1Horz">
      <w:tcPr>
        <w:shd w:val="clear" w:color="auto" w:fill="CDDDAC" w:themeFill="accent3" w:themeFillTint="7F"/>
      </w:tcPr>
    </w:tblStylePr>
  </w:style>
  <w:style w:type="table" w:styleId="147">
    <w:name w:val="Colorful Shading Accent 4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5" w:themeFill="accent4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cPr>
        <w:shd w:val="clear" w:color="auto" w:fill="CCC0D9" w:themeFill="accent4" w:themeFillTint="66"/>
      </w:tcPr>
    </w:tblStylePr>
    <w:tblStylePr w:type="band1Horz"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48">
    <w:name w:val="Colorful Shading Accent 5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cPr>
        <w:shd w:val="clear" w:color="auto" w:fill="B6DDE8" w:themeFill="accent5" w:themeFillTint="66"/>
      </w:tcPr>
    </w:tblStylePr>
    <w:tblStylePr w:type="band1Horz"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49">
    <w:name w:val="Colorful Shading Accent 6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cPr>
        <w:shd w:val="clear" w:color="auto" w:fill="FBD4B4" w:themeFill="accent6" w:themeFillTint="66"/>
      </w:tcPr>
    </w:tblStylePr>
    <w:tblStylePr w:type="band1Horz"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50">
    <w:name w:val="Colorful List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cPr>
        <w:shd w:val="clear" w:color="auto" w:fill="CCCCCC" w:themeFill="text1" w:themeFillTint="33"/>
      </w:tcPr>
    </w:tblStylePr>
  </w:style>
  <w:style w:type="table" w:styleId="151">
    <w:name w:val="Colorful List Accent 1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cPr>
        <w:shd w:val="clear" w:color="auto" w:fill="DBE5F1" w:themeFill="accent1" w:themeFillTint="33"/>
      </w:tcPr>
    </w:tblStylePr>
  </w:style>
  <w:style w:type="table" w:styleId="152">
    <w:name w:val="Colorful List Accent 2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cPr>
        <w:shd w:val="clear" w:color="auto" w:fill="F2DBDB" w:themeFill="accent2" w:themeFillTint="33"/>
      </w:tcPr>
    </w:tblStylePr>
  </w:style>
  <w:style w:type="table" w:styleId="153">
    <w:name w:val="Colorful List Accent 3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cPr>
        <w:shd w:val="clear" w:color="auto" w:fill="EAF1DD" w:themeFill="accent3" w:themeFillTint="33"/>
      </w:tcPr>
    </w:tblStylePr>
  </w:style>
  <w:style w:type="table" w:styleId="154">
    <w:name w:val="Colorful List Accent 4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cPr>
        <w:shd w:val="clear" w:color="auto" w:fill="E5DFEC" w:themeFill="accent4" w:themeFillTint="33"/>
      </w:tcPr>
    </w:tblStylePr>
  </w:style>
  <w:style w:type="table" w:styleId="155">
    <w:name w:val="Colorful List Accent 5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cPr>
        <w:shd w:val="clear" w:color="auto" w:fill="DAEEF3" w:themeFill="accent5" w:themeFillTint="33"/>
      </w:tcPr>
    </w:tblStylePr>
  </w:style>
  <w:style w:type="table" w:styleId="156">
    <w:name w:val="Colorful List Accent 6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cPr>
        <w:shd w:val="clear" w:color="auto" w:fill="FDE9D9" w:themeFill="accent6" w:themeFillTint="33"/>
      </w:tcPr>
    </w:tblStylePr>
  </w:style>
  <w:style w:type="table" w:styleId="157">
    <w:name w:val="Colorful Grid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000000" w:themeFill="text1" w:themeFillShade="BF"/>
      </w:tcPr>
    </w:tblStylePr>
    <w:tblStylePr w:type="band1Vert">
      <w:tcPr>
        <w:shd w:val="clear" w:color="auto" w:fill="7F7F7F" w:themeFill="text1" w:themeFillTint="7F"/>
      </w:tcPr>
    </w:tblStylePr>
    <w:tblStylePr w:type="band1Horz">
      <w:tcPr>
        <w:shd w:val="clear" w:color="auto" w:fill="7F7F7F" w:themeFill="text1" w:themeFillTint="7F"/>
      </w:tcPr>
    </w:tblStylePr>
  </w:style>
  <w:style w:type="table" w:styleId="158">
    <w:name w:val="Colorful Grid Accent 1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366091" w:themeFill="accent1" w:themeFillShade="BF"/>
      </w:tcPr>
    </w:tblStylePr>
    <w:tblStylePr w:type="band1Vert">
      <w:tcPr>
        <w:shd w:val="clear" w:color="auto" w:fill="A7C0DE" w:themeFill="accent1" w:themeFillTint="7F"/>
      </w:tcPr>
    </w:tblStylePr>
    <w:tblStylePr w:type="band1Horz">
      <w:tcPr>
        <w:shd w:val="clear" w:color="auto" w:fill="A7C0DE" w:themeFill="accent1" w:themeFillTint="7F"/>
      </w:tcPr>
    </w:tblStylePr>
  </w:style>
  <w:style w:type="table" w:styleId="159">
    <w:name w:val="Colorful Grid Accent 2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943734" w:themeFill="accent2" w:themeFillShade="BF"/>
      </w:tcPr>
    </w:tblStylePr>
    <w:tblStylePr w:type="band1Vert">
      <w:tcPr>
        <w:shd w:val="clear" w:color="auto" w:fill="DFA7A6" w:themeFill="accent2" w:themeFillTint="7F"/>
      </w:tcPr>
    </w:tblStylePr>
    <w:tblStylePr w:type="band1Horz">
      <w:tcPr>
        <w:shd w:val="clear" w:color="auto" w:fill="DFA7A6" w:themeFill="accent2" w:themeFillTint="7F"/>
      </w:tcPr>
    </w:tblStylePr>
  </w:style>
  <w:style w:type="table" w:styleId="160">
    <w:name w:val="Colorful Grid Accent 3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76923C" w:themeFill="accent3" w:themeFillShade="BF"/>
      </w:tcPr>
    </w:tblStylePr>
    <w:tblStylePr w:type="band1Vert">
      <w:tcPr>
        <w:shd w:val="clear" w:color="auto" w:fill="CDDDAC" w:themeFill="accent3" w:themeFillTint="7F"/>
      </w:tcPr>
    </w:tblStylePr>
    <w:tblStylePr w:type="band1Horz">
      <w:tcPr>
        <w:shd w:val="clear" w:color="auto" w:fill="CDDDAC" w:themeFill="accent3" w:themeFillTint="7F"/>
      </w:tcPr>
    </w:tblStylePr>
  </w:style>
  <w:style w:type="table" w:styleId="161">
    <w:name w:val="Colorful Grid Accent 4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5F497A" w:themeFill="accent4" w:themeFillShade="BF"/>
      </w:tcPr>
    </w:tblStylePr>
    <w:tblStylePr w:type="band1Vert">
      <w:tcPr>
        <w:shd w:val="clear" w:color="auto" w:fill="BFB1D0" w:themeFill="accent4" w:themeFillTint="7F"/>
      </w:tcPr>
    </w:tblStylePr>
    <w:tblStylePr w:type="band1Horz">
      <w:tcPr>
        <w:shd w:val="clear" w:color="auto" w:fill="BFB1D0" w:themeFill="accent4" w:themeFillTint="7F"/>
      </w:tcPr>
    </w:tblStylePr>
  </w:style>
  <w:style w:type="table" w:styleId="162">
    <w:name w:val="Colorful Grid Accent 5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31849B" w:themeFill="accent5" w:themeFillShade="BF"/>
      </w:tcPr>
    </w:tblStylePr>
    <w:tblStylePr w:type="band1Vert">
      <w:tcPr>
        <w:shd w:val="clear" w:color="auto" w:fill="A5D5E2" w:themeFill="accent5" w:themeFillTint="7F"/>
      </w:tcPr>
    </w:tblStylePr>
    <w:tblStylePr w:type="band1Horz">
      <w:tcPr>
        <w:shd w:val="clear" w:color="auto" w:fill="A5D5E2" w:themeFill="accent5" w:themeFillTint="7F"/>
      </w:tcPr>
    </w:tblStylePr>
  </w:style>
  <w:style w:type="table" w:styleId="163">
    <w:name w:val="Colorful Grid Accent 6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E36C09" w:themeFill="accent6" w:themeFillShade="BF"/>
      </w:tcPr>
    </w:tblStylePr>
    <w:tblStylePr w:type="band1Vert">
      <w:tcPr>
        <w:shd w:val="clear" w:color="auto" w:fill="FBCAA2" w:themeFill="accent6" w:themeFillTint="7F"/>
      </w:tcPr>
    </w:tblStylePr>
    <w:tblStylePr w:type="band1Horz">
      <w:tcPr>
        <w:shd w:val="clear" w:color="auto" w:fill="FBCAA2" w:themeFill="accent6" w:themeFillTint="7F"/>
      </w:tcPr>
    </w:tblStyle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804</Words>
  <Characters>5531</Characters>
  <Lines>45</Lines>
  <Paragraphs>12</Paragraphs>
  <TotalTime>11</TotalTime>
  <ScaleCrop>false</ScaleCrop>
  <LinksUpToDate>false</LinksUpToDate>
  <CharactersWithSpaces>6194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User</cp:lastModifiedBy>
  <dcterms:modified xsi:type="dcterms:W3CDTF">2026-10-16T08:53:54Z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eyJoZGlkIjoiY2I2ODJiMzM0MGI1MDZkMDlkZGU1NTdmYzY5ODQwZGQifQ==</vt:lpwstr>
  </property>
  <property fmtid="{D5CDD505-2E9C-101B-9397-08002B2CF9AE}" pid="3" name="KSOProductBuildVer">
    <vt:lpwstr>1049-12.1.0.29162</vt:lpwstr>
  </property>
  <property fmtid="{D5CDD505-2E9C-101B-9397-08002B2CF9AE}" pid="4" name="ICV">
    <vt:lpwstr>FA19300993114049ADCE8D9611DD5694_12</vt:lpwstr>
  </property>
</Properties>
</file>