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1B14963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pStyle w:val="P7"/>
        <w:widowControl w:val="1"/>
        <w:spacing w:lineRule="auto" w:line="252" w:before="0" w:after="160" w:beforeAutospacing="0" w:afterAutospacing="0"/>
        <w:jc w:val="center"/>
      </w:pPr>
      <w:r>
        <w:rPr>
          <w:rFonts w:ascii="Times New Roman" w:hAnsi="Times New Roman"/>
          <w:b w:val="1"/>
          <w:color w:val="000000"/>
          <w:sz w:val="28"/>
        </w:rPr>
        <w:t>ТЕХНИЧЕСКАЯ СПЕЦИФИКАЦИЯ</w:t>
      </w:r>
    </w:p>
    <w:p>
      <w:pPr>
        <w:widowControl w:val="1"/>
        <w:spacing w:lineRule="auto" w:line="252" w:before="0" w:after="100" w:beforeAutospacing="0" w:afterAutospacing="0"/>
        <w:jc w:val="center"/>
      </w:pPr>
      <w:r>
        <w:rPr>
          <w:rFonts w:ascii="Times New Roman" w:hAnsi="Times New Roman"/>
          <w:b w:val="1"/>
          <w:color w:val="000000"/>
          <w:sz w:val="24"/>
        </w:rPr>
        <w:t>Услуга по обеспечению пациентов слухопротезной помощью</w:t>
      </w:r>
    </w:p>
    <w:p>
      <w:pPr>
        <w:pStyle w:val="P1"/>
        <w:keepNext w:val="1"/>
        <w:widowControl w:val="1"/>
        <w:spacing w:lineRule="auto" w:line="252" w:before="180" w:after="100" w:beforeAutospacing="0" w:afterAutospacing="0"/>
      </w:pPr>
      <w:r>
        <w:rPr>
          <w:rFonts w:ascii="Times New Roman" w:hAnsi="Times New Roman"/>
          <w:b w:val="1"/>
          <w:color w:val="000000"/>
          <w:sz w:val="24"/>
        </w:rPr>
        <w:t>1. Наименование и описание услуги</w:t>
      </w:r>
    </w:p>
    <w:p>
      <w:pPr>
        <w:keepNext w:val="1"/>
        <w:widowControl w:val="1"/>
        <w:spacing w:lineRule="auto" w:line="252" w:before="0" w:after="100" w:beforeAutospacing="0" w:afterAutospacing="0"/>
      </w:pPr>
      <w:r>
        <w:rPr>
          <w:b w:val="1"/>
        </w:rPr>
        <w:t>Пациент №1 — ребёнок.</w:t>
      </w:r>
    </w:p>
    <w:p>
      <w:pPr>
        <w:keepNext w:val="1"/>
        <w:widowControl w:val="1"/>
        <w:spacing w:lineRule="auto" w:line="252" w:before="0" w:after="100" w:beforeAutospacing="0" w:afterAutospacing="0"/>
      </w:pPr>
      <w:r>
        <w:t>Снижение слуха: сенсоневральная тугоухость IV степени справа.</w:t>
      </w:r>
    </w:p>
    <w:p>
      <w:pPr>
        <w:keepNext w:val="0"/>
        <w:widowControl w:val="1"/>
        <w:spacing w:lineRule="auto" w:line="252" w:before="0" w:after="100" w:beforeAutospacing="0" w:afterAutospacing="0"/>
      </w:pPr>
      <w:r>
        <w:rPr>
          <w:rFonts w:ascii="Times New Roman" w:hAnsi="Times New Roman"/>
          <w:color w:val="000000"/>
          <w:sz w:val="24"/>
        </w:rPr>
        <w:t>Количество слуховых аппаратов: 1 шт.</w:t>
      </w:r>
    </w:p>
    <w:p>
      <w:pPr>
        <w:keepNext w:val="1"/>
        <w:widowControl w:val="1"/>
        <w:spacing w:lineRule="auto" w:line="252" w:before="0" w:after="100" w:beforeAutospacing="0" w:afterAutospacing="0"/>
      </w:pPr>
      <w:r>
        <w:rPr>
          <w:b w:val="1"/>
        </w:rPr>
        <w:t>Пациент №2 — ребёнок.</w:t>
      </w:r>
    </w:p>
    <w:p>
      <w:pPr>
        <w:keepNext w:val="1"/>
        <w:widowControl w:val="1"/>
        <w:spacing w:lineRule="auto" w:line="252" w:before="0" w:after="100" w:beforeAutospacing="0" w:afterAutospacing="0"/>
      </w:pPr>
      <w:r>
        <w:t>Снижение слуха: сенсоневральная тугоухость IV степени справа.</w:t>
      </w:r>
    </w:p>
    <w:p>
      <w:pPr>
        <w:keepNext w:val="0"/>
        <w:widowControl w:val="1"/>
        <w:spacing w:lineRule="auto" w:line="252" w:before="0" w:after="100" w:beforeAutospacing="0" w:afterAutospacing="0"/>
      </w:pPr>
      <w:r>
        <w:rPr>
          <w:rFonts w:ascii="Times New Roman" w:hAnsi="Times New Roman"/>
          <w:color w:val="000000"/>
          <w:sz w:val="24"/>
        </w:rPr>
        <w:t>Количество слуховых аппаратов: 1 шт.</w:t>
      </w:r>
    </w:p>
    <w:p>
      <w:pPr>
        <w:keepNext w:val="1"/>
        <w:widowControl w:val="1"/>
        <w:spacing w:lineRule="auto" w:line="252" w:before="0" w:after="100" w:beforeAutospacing="0" w:afterAutospacing="0"/>
      </w:pPr>
      <w:r>
        <w:rPr>
          <w:b w:val="1"/>
        </w:rPr>
        <w:t>Пациент №3 — ребёнок.</w:t>
      </w:r>
    </w:p>
    <w:p>
      <w:pPr>
        <w:keepNext w:val="1"/>
        <w:widowControl w:val="1"/>
        <w:spacing w:lineRule="auto" w:line="252" w:before="0" w:after="100" w:beforeAutospacing="0" w:afterAutospacing="0"/>
      </w:pPr>
      <w:r>
        <w:t xml:space="preserve">Снижение слуха: тугоухость III степени. </w:t>
      </w:r>
      <w:r>
        <w:rPr>
          <w:rFonts w:ascii="Times New Roman" w:hAnsi="Times New Roman"/>
          <w:color w:val="000000"/>
          <w:sz w:val="24"/>
        </w:rPr>
        <w:t>Количество слуховых аппаратов: 1 шт.</w:t>
      </w:r>
    </w:p>
    <w:p>
      <w:pPr>
        <w:keepNext w:val="1"/>
        <w:widowControl w:val="1"/>
        <w:spacing w:lineRule="auto" w:line="252" w:before="0" w:after="100" w:beforeAutospacing="0" w:afterAutospacing="0"/>
      </w:pPr>
      <w:r>
        <w:rPr>
          <w:b w:val="1"/>
        </w:rPr>
        <w:t>Пациент №4 — ребёнок.</w:t>
      </w:r>
    </w:p>
    <w:p>
      <w:pPr>
        <w:keepNext w:val="1"/>
        <w:widowControl w:val="1"/>
        <w:spacing w:lineRule="auto" w:line="252" w:before="0" w:after="100" w:beforeAutospacing="0" w:afterAutospacing="0"/>
      </w:pPr>
      <w:r>
        <w:t>Снижение слуха: сенсоневральная тугоухость IV степени слева, I степени справа.</w:t>
      </w:r>
    </w:p>
    <w:p>
      <w:pPr>
        <w:keepNext w:val="0"/>
        <w:widowControl w:val="1"/>
        <w:spacing w:lineRule="auto" w:line="252" w:before="0" w:after="100" w:beforeAutospacing="0" w:afterAutospacing="0"/>
      </w:pPr>
      <w:r>
        <w:rPr>
          <w:rFonts w:ascii="Times New Roman" w:hAnsi="Times New Roman"/>
          <w:color w:val="000000"/>
          <w:sz w:val="24"/>
        </w:rPr>
        <w:t>Количество слуховых аппаратов: 1 шт.</w:t>
      </w:r>
    </w:p>
    <w:p>
      <w:pPr>
        <w:widowControl w:val="1"/>
        <w:spacing w:lineRule="auto" w:line="252" w:before="0" w:after="100" w:beforeAutospacing="0" w:afterAutospacing="0"/>
      </w:pPr>
      <w:r>
        <w:rPr>
          <w:rFonts w:ascii="Times New Roman" w:hAnsi="Times New Roman"/>
          <w:b w:val="1"/>
          <w:color w:val="000000"/>
          <w:sz w:val="24"/>
        </w:rPr>
        <w:t>Общее количество пациентов: 4 человека. Общее количество слуховых аппаратов: 4 шт. (по 1 шт. на каждого пациента), согласно требованиям раздела 3.</w:t>
      </w:r>
    </w:p>
    <w:p>
      <w:r>
        <w:t>Персональные данные пациентов и результаты их обследований не включаются в общедоступную техническую спецификацию. Сведения, необходимые для оказания услуги, предоставляются исполнителю отдельно</w:t>
      </w:r>
      <w:r>
        <w:t>.</w:t>
      </w:r>
    </w:p>
    <w:p>
      <w:pPr>
        <w:widowControl w:val="1"/>
        <w:spacing w:lineRule="auto" w:line="252" w:before="0" w:after="100" w:beforeAutospacing="0" w:afterAutospacing="0"/>
      </w:pPr>
      <w:r>
        <w:rPr>
          <w:rFonts w:ascii="Times New Roman" w:hAnsi="Times New Roman"/>
          <w:color w:val="000000"/>
          <w:sz w:val="24"/>
        </w:rPr>
        <w:t>Сторона слухопротезирования и тип аппарата для каждого пациента определяются по медицинскому назначению с учётом результатов обследования.</w:t>
      </w:r>
    </w:p>
    <w:p>
      <w:pPr>
        <w:keepNext w:val="1"/>
        <w:widowControl w:val="1"/>
        <w:tabs>
          <w:tab w:val="left" w:pos="1252" w:leader="none"/>
        </w:tabs>
        <w:spacing w:lineRule="auto" w:line="252" w:before="0" w:after="100" w:beforeAutospacing="0" w:afterAutospacing="0"/>
        <w:jc w:val="both"/>
      </w:pPr>
      <w:r>
        <w:rPr>
          <w:rFonts w:ascii="Times New Roman" w:hAnsi="Times New Roman"/>
          <w:b w:val="1"/>
          <w:color w:val="000000"/>
          <w:sz w:val="24"/>
        </w:rPr>
        <w:t>Наименование:</w:t>
      </w:r>
      <w:r>
        <w:rPr>
          <w:rFonts w:ascii="Times New Roman" w:hAnsi="Times New Roman"/>
          <w:color w:val="000000"/>
          <w:sz w:val="24"/>
        </w:rPr>
        <w:t xml:space="preserve"> услуга по обеспечению пациентов слухопротезной помощью.</w:t>
      </w:r>
    </w:p>
    <w:p>
      <w:pPr>
        <w:widowControl w:val="1"/>
        <w:spacing w:lineRule="auto" w:line="252" w:before="0" w:after="100" w:beforeAutospacing="0" w:afterAutospacing="0"/>
        <w:jc w:val="both"/>
      </w:pPr>
      <w:r>
        <w:rPr>
          <w:rFonts w:ascii="Times New Roman" w:hAnsi="Times New Roman"/>
          <w:b w:val="1"/>
          <w:color w:val="000000"/>
          <w:sz w:val="24"/>
        </w:rPr>
        <w:t>Описание:</w:t>
      </w:r>
      <w:r>
        <w:rPr>
          <w:rFonts w:ascii="Times New Roman" w:hAnsi="Times New Roman"/>
          <w:color w:val="000000"/>
          <w:sz w:val="24"/>
        </w:rPr>
        <w:t xml:space="preserve"> услуга включает подбор и выдачу цифрового программируемого слухового аппарата заушного типа, его настройку, изготовление индивидуального ушного вкладыша по медицинским показаниям, а также гарантийное и постгарантийное сервисное обслуживание. </w:t>
      </w:r>
    </w:p>
    <w:p>
      <w:pPr>
        <w:pStyle w:val="P1"/>
        <w:keepNext w:val="1"/>
        <w:widowControl w:val="1"/>
        <w:spacing w:lineRule="auto" w:line="252" w:before="180" w:after="100" w:beforeAutospacing="0" w:afterAutospacing="0"/>
      </w:pPr>
      <w:r>
        <w:rPr>
          <w:rFonts w:ascii="Times New Roman" w:hAnsi="Times New Roman"/>
          <w:b w:val="1"/>
          <w:color w:val="000000"/>
          <w:sz w:val="24"/>
        </w:rPr>
        <w:t>2. Состав услуги</w:t>
      </w:r>
    </w:p>
    <w:p>
      <w:pPr>
        <w:pStyle w:val="P9"/>
        <w:widowControl w:val="1"/>
        <w:numPr>
          <w:ilvl w:val="0"/>
          <w:numId w:val="2"/>
        </w:numPr>
        <w:spacing w:lineRule="auto" w:line="252" w:before="0" w:after="100" w:beforeAutospacing="0" w:afterAutospacing="0"/>
        <w:jc w:val="both"/>
      </w:pPr>
      <w:r>
        <w:rPr>
          <w:rFonts w:ascii="Times New Roman" w:hAnsi="Times New Roman"/>
          <w:color w:val="000000"/>
          <w:sz w:val="24"/>
        </w:rPr>
        <w:t>Подбор слухового аппарата с учётом степени и типа снижения слуха пациента.</w:t>
      </w:r>
    </w:p>
    <w:p>
      <w:pPr>
        <w:pStyle w:val="P9"/>
        <w:widowControl w:val="1"/>
        <w:numPr>
          <w:ilvl w:val="0"/>
          <w:numId w:val="2"/>
        </w:numPr>
        <w:spacing w:lineRule="auto" w:line="252" w:before="0" w:after="100" w:beforeAutospacing="0" w:afterAutospacing="0"/>
        <w:jc w:val="both"/>
      </w:pPr>
      <w:r>
        <w:rPr>
          <w:rFonts w:ascii="Times New Roman" w:hAnsi="Times New Roman"/>
          <w:color w:val="000000"/>
          <w:sz w:val="24"/>
        </w:rPr>
        <w:t>Выдача слухового аппарата в комплектации по разделу 6.</w:t>
      </w:r>
    </w:p>
    <w:p>
      <w:pPr>
        <w:pStyle w:val="P9"/>
        <w:widowControl w:val="1"/>
        <w:numPr>
          <w:ilvl w:val="0"/>
          <w:numId w:val="2"/>
        </w:numPr>
        <w:spacing w:lineRule="auto" w:line="252" w:before="0" w:after="100" w:beforeAutospacing="0" w:afterAutospacing="0"/>
        <w:jc w:val="both"/>
      </w:pPr>
      <w:r>
        <w:rPr>
          <w:rFonts w:ascii="Times New Roman" w:hAnsi="Times New Roman"/>
          <w:color w:val="000000"/>
          <w:sz w:val="24"/>
        </w:rPr>
        <w:t>Настройка (программирование) слухового аппарата.</w:t>
      </w:r>
    </w:p>
    <w:p>
      <w:pPr>
        <w:pStyle w:val="P9"/>
        <w:widowControl w:val="1"/>
        <w:numPr>
          <w:ilvl w:val="0"/>
          <w:numId w:val="2"/>
        </w:numPr>
        <w:spacing w:lineRule="auto" w:line="252" w:before="0" w:after="100" w:beforeAutospacing="0" w:afterAutospacing="0"/>
        <w:jc w:val="both"/>
      </w:pPr>
      <w:r>
        <w:rPr>
          <w:rFonts w:ascii="Times New Roman" w:hAnsi="Times New Roman"/>
          <w:color w:val="000000"/>
          <w:sz w:val="24"/>
        </w:rPr>
        <w:t>Изготовление индивидуального ушного вкладыша по медицинским показаниям.</w:t>
      </w:r>
    </w:p>
    <w:p>
      <w:pPr>
        <w:pStyle w:val="P9"/>
        <w:widowControl w:val="1"/>
        <w:numPr>
          <w:ilvl w:val="0"/>
          <w:numId w:val="2"/>
        </w:numPr>
        <w:spacing w:lineRule="auto" w:line="252" w:before="0" w:after="100" w:beforeAutospacing="0" w:afterAutospacing="0"/>
        <w:jc w:val="both"/>
      </w:pPr>
      <w:r>
        <w:rPr>
          <w:rFonts w:ascii="Times New Roman" w:hAnsi="Times New Roman"/>
          <w:color w:val="000000"/>
          <w:sz w:val="24"/>
        </w:rPr>
        <w:t>Гарантийное и постгарантийное сервисное обслуживание.</w:t>
      </w:r>
    </w:p>
    <w:p>
      <w:pPr>
        <w:pStyle w:val="P1"/>
        <w:keepNext w:val="1"/>
        <w:widowControl w:val="1"/>
        <w:spacing w:lineRule="auto" w:line="252" w:before="180" w:after="100" w:beforeAutospacing="0" w:afterAutospacing="0"/>
      </w:pPr>
      <w:r>
        <w:rPr>
          <w:rFonts w:ascii="Times New Roman" w:hAnsi="Times New Roman"/>
          <w:b w:val="1"/>
          <w:color w:val="000000"/>
          <w:sz w:val="24"/>
        </w:rPr>
        <w:t>3. Общие требования к слуховым аппаратам</w:t>
      </w:r>
    </w:p>
    <w:p>
      <w:pPr>
        <w:widowControl w:val="1"/>
        <w:spacing w:lineRule="auto" w:line="252" w:before="0" w:after="100" w:beforeAutospacing="0" w:afterAutospacing="0"/>
        <w:jc w:val="both"/>
      </w:pPr>
      <w:r>
        <w:rPr>
          <w:rFonts w:ascii="Times New Roman" w:hAnsi="Times New Roman"/>
          <w:color w:val="000000"/>
          <w:sz w:val="24"/>
        </w:rPr>
        <w:t>Слуховые аппараты должны быть зарегистрированы и разрешены к применению в Республике Казахстан в соответствии со статьёй 23 Кодекса Республики Казахстан «О здоровье народа и системе здравоохранения» от 7 июля 2020 года № 360-VI ЗРК. Поставщик представляет копию регистрационного удостоверения.</w:t>
      </w:r>
    </w:p>
    <w:p>
      <w:pPr>
        <w:widowControl w:val="1"/>
        <w:spacing w:lineRule="auto" w:line="252" w:before="0" w:after="100" w:beforeAutospacing="0" w:afterAutospacing="0"/>
        <w:jc w:val="both"/>
      </w:pPr>
      <w:r>
        <w:rPr>
          <w:rFonts w:ascii="Times New Roman" w:hAnsi="Times New Roman"/>
          <w:color w:val="000000"/>
          <w:sz w:val="24"/>
        </w:rPr>
        <w:t>Поставщик обеспечивает наличие слуховых аппаратов двух типов:</w:t>
      </w:r>
    </w:p>
    <w:tbl>
      <w:tblPr>
        <w:tblW w:w="9355" w:type="dxa"/>
        <w:tblBorders>
          <w:top w:val="single" w:sz="4" w:space="0" w:shadow="0" w:frame="0" w:color="D9D9D9"/>
          <w:left w:val="single" w:sz="4" w:space="0" w:shadow="0" w:frame="0" w:color="D9D9D9"/>
          <w:bottom w:val="single" w:sz="4" w:space="0" w:shadow="0" w:frame="0" w:color="D9D9D9"/>
          <w:right w:val="single" w:sz="4" w:space="0" w:shadow="0" w:frame="0" w:color="D9D9D9"/>
          <w:insideH w:val="single" w:sz="4" w:space="0" w:shadow="0" w:frame="0" w:color="D9D9D9"/>
          <w:insideV w:val="single" w:sz="4" w:space="0" w:shadow="0" w:frame="0" w:color="D9D9D9"/>
        </w:tblBorders>
        <w:tblLayout w:type="fixed"/>
        <w:tblCellMar>
          <w:left w:w="10" w:type="dxa"/>
          <w:right w:w="10" w:type="dxa"/>
        </w:tblCellMar>
        <w:tblLook w:val="04A0"/>
      </w:tblPr>
      <w:tblGrid/>
      <w:tr>
        <w:trPr>
          <w:cantSplit/>
          <w:tblHeader/>
        </w:trPr>
        <w:tc>
          <w:tcPr>
            <w:tcW w:w="3118" w:type="dxa"/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Параметр</w:t>
            </w:r>
          </w:p>
        </w:tc>
        <w:tc>
          <w:tcPr>
            <w:tcW w:w="3231" w:type="dxa"/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Тип 1</w:t>
            </w:r>
          </w:p>
        </w:tc>
        <w:tc>
          <w:tcPr>
            <w:tcW w:w="3288" w:type="dxa"/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Тип 2</w:t>
            </w:r>
          </w:p>
        </w:tc>
      </w:tr>
      <w:tr>
        <w:trPr>
          <w:cantSplit/>
        </w:trPr>
        <w:tc>
          <w:tcPr>
            <w:tcW w:w="311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Степень снижения слуха</w:t>
            </w:r>
          </w:p>
        </w:tc>
        <w:tc>
          <w:tcPr>
            <w:tcW w:w="3231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I–III</w:t>
            </w:r>
          </w:p>
        </w:tc>
        <w:tc>
          <w:tcPr>
            <w:tcW w:w="32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II–IV</w:t>
            </w:r>
          </w:p>
        </w:tc>
      </w:tr>
      <w:tr>
        <w:trPr>
          <w:cantSplit/>
        </w:trPr>
        <w:tc>
          <w:tcPr>
            <w:tcW w:w="311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Тип тугоухости</w:t>
            </w:r>
          </w:p>
        </w:tc>
        <w:tc>
          <w:tcPr>
            <w:tcW w:w="3231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нейросенсорная, кондуктивная, смешанная</w:t>
            </w:r>
          </w:p>
        </w:tc>
        <w:tc>
          <w:tcPr>
            <w:tcW w:w="32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нейросенсорная, кондуктивная, смешанная</w:t>
            </w:r>
          </w:p>
        </w:tc>
      </w:tr>
      <w:tr>
        <w:trPr>
          <w:cantSplit/>
        </w:trPr>
        <w:tc>
          <w:tcPr>
            <w:tcW w:w="311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Конструкция</w:t>
            </w:r>
          </w:p>
        </w:tc>
        <w:tc>
          <w:tcPr>
            <w:tcW w:w="3231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цифровой программируемый, заушный (BTE)</w:t>
            </w:r>
          </w:p>
        </w:tc>
        <w:tc>
          <w:tcPr>
            <w:tcW w:w="32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цифровой программируемый, заушный (BTE)</w:t>
            </w:r>
          </w:p>
        </w:tc>
      </w:tr>
      <w:tr>
        <w:trPr>
          <w:cantSplit/>
        </w:trPr>
        <w:tc>
          <w:tcPr>
            <w:tcW w:w="311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Элемент питания</w:t>
            </w:r>
          </w:p>
        </w:tc>
        <w:tc>
          <w:tcPr>
            <w:tcW w:w="3231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сменный, воздушно-цинковый, 1,3 В</w:t>
            </w:r>
          </w:p>
        </w:tc>
        <w:tc>
          <w:tcPr>
            <w:tcW w:w="32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сменный, воздушно-цинковый, 1,3 В</w:t>
            </w:r>
          </w:p>
        </w:tc>
      </w:tr>
      <w:tr>
        <w:trPr>
          <w:cantSplit/>
        </w:trPr>
        <w:tc>
          <w:tcPr>
            <w:tcW w:w="311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Типоразмер элемента питания</w:t>
            </w:r>
          </w:p>
        </w:tc>
        <w:tc>
          <w:tcPr>
            <w:tcW w:w="3231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312</w:t>
            </w:r>
          </w:p>
        </w:tc>
        <w:tc>
          <w:tcPr>
            <w:tcW w:w="32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13</w:t>
            </w:r>
          </w:p>
        </w:tc>
      </w:tr>
    </w:tbl>
    <w:p>
      <w:pPr>
        <w:widowControl w:val="1"/>
        <w:spacing w:lineRule="auto" w:line="252" w:before="0" w:after="100" w:beforeAutospacing="0" w:afterAutospacing="0"/>
        <w:jc w:val="both"/>
      </w:pPr>
      <w:r>
        <w:rPr>
          <w:rFonts w:ascii="Times New Roman" w:hAnsi="Times New Roman"/>
          <w:color w:val="000000"/>
          <w:sz w:val="24"/>
        </w:rPr>
        <w:t>Требования разделов 4 и 5 относятся к обоим типам, если не указано иное.</w:t>
      </w:r>
    </w:p>
    <w:p>
      <w:pPr>
        <w:pStyle w:val="P1"/>
        <w:keepNext w:val="1"/>
        <w:widowControl w:val="1"/>
        <w:spacing w:lineRule="auto" w:line="252" w:before="180" w:after="100" w:beforeAutospacing="0" w:afterAutospacing="0"/>
      </w:pPr>
      <w:r>
        <w:rPr>
          <w:rFonts w:ascii="Times New Roman" w:hAnsi="Times New Roman"/>
          <w:b w:val="1"/>
          <w:color w:val="000000"/>
          <w:sz w:val="24"/>
        </w:rPr>
        <w:t>4. Функциональные требования</w:t>
      </w:r>
    </w:p>
    <w:p>
      <w:pPr>
        <w:pStyle w:val="P2"/>
        <w:keepNext w:val="1"/>
        <w:widowControl w:val="1"/>
        <w:spacing w:lineRule="auto" w:line="252" w:before="180" w:after="100" w:beforeAutospacing="0" w:afterAutospacing="0"/>
      </w:pPr>
      <w:r>
        <w:rPr>
          <w:rFonts w:ascii="Times New Roman" w:hAnsi="Times New Roman"/>
          <w:b w:val="1"/>
          <w:color w:val="000000"/>
          <w:sz w:val="24"/>
        </w:rPr>
        <w:t>4.1. Обработка сигнала</w:t>
      </w:r>
    </w:p>
    <w:tbl>
      <w:tblPr>
        <w:tblW w:w="9355" w:type="dxa"/>
        <w:tblBorders>
          <w:top w:val="single" w:sz="4" w:space="0" w:shadow="0" w:frame="0" w:color="D9D9D9"/>
          <w:left w:val="single" w:sz="4" w:space="0" w:shadow="0" w:frame="0" w:color="D9D9D9"/>
          <w:bottom w:val="single" w:sz="4" w:space="0" w:shadow="0" w:frame="0" w:color="D9D9D9"/>
          <w:right w:val="single" w:sz="4" w:space="0" w:shadow="0" w:frame="0" w:color="D9D9D9"/>
          <w:insideH w:val="single" w:sz="4" w:space="0" w:shadow="0" w:frame="0" w:color="D9D9D9"/>
          <w:insideV w:val="single" w:sz="4" w:space="0" w:shadow="0" w:frame="0" w:color="D9D9D9"/>
        </w:tblBorders>
        <w:tblLayout w:type="fixed"/>
        <w:tblCellMar>
          <w:left w:w="10" w:type="dxa"/>
          <w:right w:w="10" w:type="dxa"/>
        </w:tblCellMar>
        <w:tblLook w:val="04A0"/>
      </w:tblPr>
      <w:tblGrid/>
      <w:tr>
        <w:trPr>
          <w:cantSplit/>
          <w:tblHeader/>
        </w:trPr>
        <w:tc>
          <w:tcPr>
            <w:tcW w:w="5783" w:type="dxa"/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Характеристика</w:t>
            </w:r>
          </w:p>
        </w:tc>
        <w:tc>
          <w:tcPr>
            <w:tcW w:w="3855" w:type="dxa"/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Требование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Обработка сигнала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цифровая, многоканальная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Независимые частотные каналы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не менее 12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Регулируемые каналы компрессии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не менее 12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Компрессия в широком динамическом диапазоне (WDRC)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Частотная компрессия для расширения воспринимаемого диапазона звуков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Автоматический режим прослушивания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Классификация акустических ситуаций, в которых находится пользователь, для персонализации настройки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Автоматическое постепенное изменение усиления до целевых значений для комфортного привыкания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Регистрация данных об использовании аппарата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Генератор шума для помощи при ушном шуме (тиннитусе) с регулировкой уровня шума пользователем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</w:tbl>
    <w:p>
      <w:pPr>
        <w:pStyle w:val="P2"/>
        <w:keepNext w:val="1"/>
        <w:widowControl w:val="1"/>
        <w:spacing w:lineRule="auto" w:line="252" w:before="180" w:after="100" w:beforeAutospacing="0" w:afterAutospacing="0"/>
      </w:pPr>
      <w:r>
        <w:rPr>
          <w:rFonts w:ascii="Times New Roman" w:hAnsi="Times New Roman"/>
          <w:b w:val="1"/>
          <w:color w:val="000000"/>
          <w:sz w:val="24"/>
        </w:rPr>
        <w:t>4.2. Микрофоны и подавление помех</w:t>
      </w:r>
    </w:p>
    <w:tbl>
      <w:tblPr>
        <w:tblW w:w="9355" w:type="dxa"/>
        <w:tblBorders>
          <w:top w:val="single" w:sz="4" w:space="0" w:shadow="0" w:frame="0" w:color="D9D9D9"/>
          <w:left w:val="single" w:sz="4" w:space="0" w:shadow="0" w:frame="0" w:color="D9D9D9"/>
          <w:bottom w:val="single" w:sz="4" w:space="0" w:shadow="0" w:frame="0" w:color="D9D9D9"/>
          <w:right w:val="single" w:sz="4" w:space="0" w:shadow="0" w:frame="0" w:color="D9D9D9"/>
          <w:insideH w:val="single" w:sz="4" w:space="0" w:shadow="0" w:frame="0" w:color="D9D9D9"/>
          <w:insideV w:val="single" w:sz="4" w:space="0" w:shadow="0" w:frame="0" w:color="D9D9D9"/>
        </w:tblBorders>
        <w:tblLayout w:type="fixed"/>
        <w:tblCellMar>
          <w:left w:w="10" w:type="dxa"/>
          <w:right w:w="10" w:type="dxa"/>
        </w:tblCellMar>
        <w:tblLook w:val="04A0"/>
      </w:tblPr>
      <w:tblGrid/>
      <w:tr>
        <w:trPr>
          <w:cantSplit/>
          <w:tblHeader/>
        </w:trPr>
        <w:tc>
          <w:tcPr>
            <w:tcW w:w="5783" w:type="dxa"/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Характеристика</w:t>
            </w:r>
          </w:p>
        </w:tc>
        <w:tc>
          <w:tcPr>
            <w:tcW w:w="3855" w:type="dxa"/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Требование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Система направленных микрофонов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2 микрофона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Направленность микрофонной системы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многополосная и (или) адаптивная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Цифровое шумоподавление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Выделение речи на фоне шума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Подавление шума ветра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Подавление импульсных звуков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Адаптивное подавление обратной связи (свиста)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Автоматическое снижение собственных шумов микрофона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</w:tbl>
    <w:p>
      <w:pPr>
        <w:pStyle w:val="P2"/>
        <w:keepNext w:val="1"/>
        <w:widowControl w:val="1"/>
        <w:spacing w:lineRule="auto" w:line="252" w:before="180" w:after="100" w:beforeAutospacing="0" w:afterAutospacing="0"/>
      </w:pPr>
      <w:r>
        <w:rPr>
          <w:rFonts w:ascii="Times New Roman" w:hAnsi="Times New Roman"/>
          <w:b w:val="1"/>
          <w:color w:val="000000"/>
          <w:sz w:val="24"/>
        </w:rPr>
        <w:t>4.3. Беспроводная связь</w:t>
      </w:r>
    </w:p>
    <w:tbl>
      <w:tblPr>
        <w:tblW w:w="9355" w:type="dxa"/>
        <w:tblBorders>
          <w:top w:val="single" w:sz="4" w:space="0" w:shadow="0" w:frame="0" w:color="D9D9D9"/>
          <w:left w:val="single" w:sz="4" w:space="0" w:shadow="0" w:frame="0" w:color="D9D9D9"/>
          <w:bottom w:val="single" w:sz="4" w:space="0" w:shadow="0" w:frame="0" w:color="D9D9D9"/>
          <w:right w:val="single" w:sz="4" w:space="0" w:shadow="0" w:frame="0" w:color="D9D9D9"/>
          <w:insideH w:val="single" w:sz="4" w:space="0" w:shadow="0" w:frame="0" w:color="D9D9D9"/>
          <w:insideV w:val="single" w:sz="4" w:space="0" w:shadow="0" w:frame="0" w:color="D9D9D9"/>
        </w:tblBorders>
        <w:tblLayout w:type="fixed"/>
        <w:tblCellMar>
          <w:left w:w="10" w:type="dxa"/>
          <w:right w:w="10" w:type="dxa"/>
        </w:tblCellMar>
        <w:tblLook w:val="04A0"/>
      </w:tblPr>
      <w:tblGrid/>
      <w:tr>
        <w:trPr>
          <w:cantSplit/>
          <w:tblHeader/>
        </w:trPr>
        <w:tc>
          <w:tcPr>
            <w:tcW w:w="5783" w:type="dxa"/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Характеристика</w:t>
            </w:r>
          </w:p>
        </w:tc>
        <w:tc>
          <w:tcPr>
            <w:tcW w:w="3855" w:type="dxa"/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Требование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Встроенная беспроводная связь с внешними устройствами и аксессуарами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Bluetooth для подключения к смартфонам, ноутбукам и другим устройствам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Совместимость со смартфонами и обычными мобильными телефонами, поддерживающими совместимые профили Bluetooth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Телефонные разговоры по Bluetooth в режиме «свободные руки»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наличие; голос пользователя улавливают микрофоны аппарата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Потоковая передача мультимедийного звука по Bluetooth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Автоматическая обработка потокового звука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наличие; отдельные режимы для речи и музыки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Программы приёма потокового звука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выносной микрофон, телефон по Bluetooth, беспроводная микрофонная система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Прямой приём звука от беспроводных микрофонных систем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Телефонная катушка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наличие; прямой доступ к программе длительным нажатием многофункциональной кнопки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Дистанционное управление громкостью и программами со смартфона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наличие; бесплатное мобильное приложение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Поддержка беспроводных аксессуаров (в комплект не входят)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ТВ-адаптер, выносной микрофон, пульт дистанционного управления, беспроводные микрофонные системы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Подключение ТВ-адаптера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к любому источнику звука: телевизору, компьютеру, аудиосистеме</w:t>
            </w:r>
          </w:p>
        </w:tc>
      </w:tr>
    </w:tbl>
    <w:p>
      <w:pPr>
        <w:pStyle w:val="P2"/>
        <w:keepNext w:val="1"/>
        <w:widowControl w:val="1"/>
        <w:spacing w:lineRule="auto" w:line="252" w:before="180" w:after="100" w:beforeAutospacing="0" w:afterAutospacing="0"/>
      </w:pPr>
      <w:r>
        <w:rPr>
          <w:rFonts w:ascii="Times New Roman" w:hAnsi="Times New Roman"/>
          <w:b w:val="1"/>
          <w:color w:val="000000"/>
          <w:sz w:val="24"/>
        </w:rPr>
        <w:t>4.4. Управление и индикация</w:t>
      </w:r>
    </w:p>
    <w:tbl>
      <w:tblPr>
        <w:tblW w:w="9355" w:type="dxa"/>
        <w:tblBorders>
          <w:top w:val="single" w:sz="4" w:space="0" w:shadow="0" w:frame="0" w:color="D9D9D9"/>
          <w:left w:val="single" w:sz="4" w:space="0" w:shadow="0" w:frame="0" w:color="D9D9D9"/>
          <w:bottom w:val="single" w:sz="4" w:space="0" w:shadow="0" w:frame="0" w:color="D9D9D9"/>
          <w:right w:val="single" w:sz="4" w:space="0" w:shadow="0" w:frame="0" w:color="D9D9D9"/>
          <w:insideH w:val="single" w:sz="4" w:space="0" w:shadow="0" w:frame="0" w:color="D9D9D9"/>
          <w:insideV w:val="single" w:sz="4" w:space="0" w:shadow="0" w:frame="0" w:color="D9D9D9"/>
        </w:tblBorders>
        <w:tblLayout w:type="fixed"/>
        <w:tblCellMar>
          <w:left w:w="10" w:type="dxa"/>
          <w:right w:w="10" w:type="dxa"/>
        </w:tblCellMar>
        <w:tblLook w:val="04A0"/>
      </w:tblPr>
      <w:tblGrid/>
      <w:tr>
        <w:trPr>
          <w:cantSplit/>
          <w:tblHeader/>
        </w:trPr>
        <w:tc>
          <w:tcPr>
            <w:tcW w:w="5783" w:type="dxa"/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Характеристика</w:t>
            </w:r>
          </w:p>
        </w:tc>
        <w:tc>
          <w:tcPr>
            <w:tcW w:w="3855" w:type="dxa"/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Требование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Регулятор громкости на корпусе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наличие; ручной, программируемый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Кнопка переключения акустических программ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наличие; программируемая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Многофункциональная кнопка на корпусе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переключение программ, регулировка громкости, приём и отклонение входящих вызовов (в зависимости от настройки)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Задержка включения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наличие; настройка длительности и выбор стартовой программы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Звуковая индикация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программируемая, мультитональная: переключение программ, изменение громкости, разряд элемента питания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Звуковая индикация предельной громкости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при достижении максимального и минимального уровня</w:t>
            </w:r>
          </w:p>
        </w:tc>
      </w:tr>
    </w:tbl>
    <w:p>
      <w:pPr>
        <w:pStyle w:val="P2"/>
        <w:keepNext w:val="1"/>
        <w:widowControl w:val="1"/>
        <w:spacing w:lineRule="auto" w:line="252" w:before="180" w:after="100" w:beforeAutospacing="0" w:afterAutospacing="0"/>
      </w:pPr>
      <w:r>
        <w:rPr>
          <w:rFonts w:ascii="Times New Roman" w:hAnsi="Times New Roman"/>
          <w:b w:val="1"/>
          <w:color w:val="000000"/>
          <w:sz w:val="24"/>
        </w:rPr>
        <w:t>4.5. Акустическое сопряжение</w:t>
      </w:r>
    </w:p>
    <w:tbl>
      <w:tblPr>
        <w:tblW w:w="9355" w:type="dxa"/>
        <w:tblBorders>
          <w:top w:val="single" w:sz="4" w:space="0" w:shadow="0" w:frame="0" w:color="D9D9D9"/>
          <w:left w:val="single" w:sz="4" w:space="0" w:shadow="0" w:frame="0" w:color="D9D9D9"/>
          <w:bottom w:val="single" w:sz="4" w:space="0" w:shadow="0" w:frame="0" w:color="D9D9D9"/>
          <w:right w:val="single" w:sz="4" w:space="0" w:shadow="0" w:frame="0" w:color="D9D9D9"/>
          <w:insideH w:val="single" w:sz="4" w:space="0" w:shadow="0" w:frame="0" w:color="D9D9D9"/>
          <w:insideV w:val="single" w:sz="4" w:space="0" w:shadow="0" w:frame="0" w:color="D9D9D9"/>
        </w:tblBorders>
        <w:tblLayout w:type="fixed"/>
        <w:tblCellMar>
          <w:left w:w="10" w:type="dxa"/>
          <w:right w:w="10" w:type="dxa"/>
        </w:tblCellMar>
        <w:tblLook w:val="04A0"/>
      </w:tblPr>
      <w:tblGrid/>
      <w:tr>
        <w:trPr>
          <w:cantSplit/>
          <w:tblHeader/>
        </w:trPr>
        <w:tc>
          <w:tcPr>
            <w:tcW w:w="5783" w:type="dxa"/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Характеристика</w:t>
            </w:r>
          </w:p>
        </w:tc>
        <w:tc>
          <w:tcPr>
            <w:tcW w:w="3855" w:type="dxa"/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Требование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Варианты звуковода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стандартный звуковод и тонкий звуковод (тонкая трубочка)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Звуковые крючки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 фильтром и без фильтра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Стандартные вкладыши для тонкой трубочки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открытые, вентилируемые, мощные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Индивидуальный ушной вкладыш для тонкой трубочки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возможность использования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Фиксатор для тонкой трубочки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</w:tbl>
    <w:p>
      <w:pPr>
        <w:pStyle w:val="P2"/>
        <w:keepNext w:val="1"/>
        <w:widowControl w:val="1"/>
        <w:spacing w:lineRule="auto" w:line="252" w:before="180" w:after="100" w:beforeAutospacing="0" w:afterAutospacing="0"/>
      </w:pPr>
      <w:r>
        <w:rPr>
          <w:rFonts w:ascii="Times New Roman" w:hAnsi="Times New Roman"/>
          <w:b w:val="1"/>
          <w:color w:val="000000"/>
          <w:sz w:val="24"/>
        </w:rPr>
        <w:t>4.6. Настройка и защита</w:t>
      </w:r>
    </w:p>
    <w:tbl>
      <w:tblPr>
        <w:tblW w:w="9355" w:type="dxa"/>
        <w:tblBorders>
          <w:top w:val="single" w:sz="4" w:space="0" w:shadow="0" w:frame="0" w:color="D9D9D9"/>
          <w:left w:val="single" w:sz="4" w:space="0" w:shadow="0" w:frame="0" w:color="D9D9D9"/>
          <w:bottom w:val="single" w:sz="4" w:space="0" w:shadow="0" w:frame="0" w:color="D9D9D9"/>
          <w:right w:val="single" w:sz="4" w:space="0" w:shadow="0" w:frame="0" w:color="D9D9D9"/>
          <w:insideH w:val="single" w:sz="4" w:space="0" w:shadow="0" w:frame="0" w:color="D9D9D9"/>
          <w:insideV w:val="single" w:sz="4" w:space="0" w:shadow="0" w:frame="0" w:color="D9D9D9"/>
        </w:tblBorders>
        <w:tblLayout w:type="fixed"/>
        <w:tblCellMar>
          <w:left w:w="10" w:type="dxa"/>
          <w:right w:w="10" w:type="dxa"/>
        </w:tblCellMar>
        <w:tblLook w:val="04A0"/>
      </w:tblPr>
      <w:tblGrid/>
      <w:tr>
        <w:trPr>
          <w:cantSplit/>
          <w:tblHeader/>
        </w:trPr>
        <w:tc>
          <w:tcPr>
            <w:tcW w:w="5783" w:type="dxa"/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Характеристика</w:t>
            </w:r>
          </w:p>
        </w:tc>
        <w:tc>
          <w:tcPr>
            <w:tcW w:w="3855" w:type="dxa"/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Требование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Способ настройки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цифровое программирование в специализированном программном обеспечении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Беспроводное программирование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Пошаговый режим первичной настройки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наличие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Защитное покрытие корпуса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от влаги, пота и серы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Степень защиты от пыли и влаги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не ниже IP68</w:t>
            </w:r>
          </w:p>
        </w:tc>
      </w:tr>
    </w:tbl>
    <w:p>
      <w:pPr>
        <w:pStyle w:val="P1"/>
        <w:keepNext w:val="1"/>
        <w:widowControl w:val="1"/>
        <w:spacing w:lineRule="auto" w:line="252" w:before="180" w:after="100" w:beforeAutospacing="0" w:afterAutospacing="0"/>
      </w:pPr>
      <w:r>
        <w:rPr>
          <w:rFonts w:ascii="Times New Roman" w:hAnsi="Times New Roman"/>
          <w:b w:val="1"/>
          <w:color w:val="000000"/>
          <w:sz w:val="24"/>
        </w:rPr>
        <w:t>5. Электроакустические параметры</w:t>
      </w:r>
    </w:p>
    <w:p>
      <w:pPr>
        <w:widowControl w:val="1"/>
        <w:spacing w:lineRule="auto" w:line="252" w:before="0" w:after="100" w:beforeAutospacing="0" w:afterAutospacing="0"/>
        <w:jc w:val="both"/>
      </w:pPr>
      <w:r>
        <w:rPr>
          <w:rFonts w:ascii="Times New Roman" w:hAnsi="Times New Roman"/>
          <w:color w:val="000000"/>
          <w:sz w:val="24"/>
        </w:rPr>
        <w:t>Параметры измеряются в камере связи (куплере) 2 см³ по стандартам ANSI/ASA S3.22-2014 (R2020) / IEC 60118-0:2022.</w:t>
      </w:r>
    </w:p>
    <w:tbl>
      <w:tblPr>
        <w:tblW w:w="9355" w:type="dxa"/>
        <w:tblBorders>
          <w:top w:val="single" w:sz="4" w:space="0" w:shadow="0" w:frame="0" w:color="D9D9D9"/>
          <w:left w:val="single" w:sz="4" w:space="0" w:shadow="0" w:frame="0" w:color="D9D9D9"/>
          <w:bottom w:val="single" w:sz="4" w:space="0" w:shadow="0" w:frame="0" w:color="D9D9D9"/>
          <w:right w:val="single" w:sz="4" w:space="0" w:shadow="0" w:frame="0" w:color="D9D9D9"/>
          <w:insideH w:val="single" w:sz="4" w:space="0" w:shadow="0" w:frame="0" w:color="D9D9D9"/>
          <w:insideV w:val="single" w:sz="4" w:space="0" w:shadow="0" w:frame="0" w:color="D9D9D9"/>
        </w:tblBorders>
        <w:tblLayout w:type="fixed"/>
        <w:tblCellMar>
          <w:left w:w="10" w:type="dxa"/>
          <w:right w:w="10" w:type="dxa"/>
        </w:tblCellMar>
        <w:tblLook w:val="04A0"/>
      </w:tblPr>
      <w:tblGrid/>
      <w:tr>
        <w:trPr>
          <w:cantSplit/>
          <w:tblHeader/>
        </w:trPr>
        <w:tc>
          <w:tcPr>
            <w:tcW w:w="5783" w:type="dxa"/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Параметр</w:t>
            </w:r>
          </w:p>
        </w:tc>
        <w:tc>
          <w:tcPr>
            <w:tcW w:w="3855" w:type="dxa"/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  <w:jc w:val="center"/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Требование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Максимальный выходной уровень звукового давления (OSPL90), дБ УЗД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122–139, в зависимости от типа аппарата и акустического сопряжения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Максимальное акустическое усиление при входном сигнале 50 дБ УЗД, дБ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58–81, в зависимости от типа аппарата и акустического сопряжения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Частотный диапазон, Гц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нижняя граница менее 100; верхняя граница более 4900–8000, в зависимости от типа аппарата и акустического сопряжения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Эквивалентный входной шум, дБ УЗД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не более 19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Коэффициент гармонических искажений, %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не более 5,0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Чувствительность индукционной катушки (HFA-SPLIV), дБ УЗД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95–112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Ток потребления, мА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не более 2,1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Время работы от одного элемента питания, ч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не менее 85</w:t>
            </w:r>
          </w:p>
        </w:tc>
      </w:tr>
      <w:tr>
        <w:trPr>
          <w:cantSplit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Задержка обработки сигнала, мс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не более 6,5</w:t>
            </w:r>
          </w:p>
        </w:tc>
      </w:tr>
    </w:tbl>
    <w:p>
      <w:pPr>
        <w:pStyle w:val="P1"/>
        <w:keepNext w:val="1"/>
        <w:widowControl w:val="1"/>
        <w:spacing w:lineRule="auto" w:line="252" w:before="180" w:after="100" w:beforeAutospacing="0" w:afterAutospacing="0"/>
      </w:pPr>
      <w:r>
        <w:rPr>
          <w:rFonts w:ascii="Times New Roman" w:hAnsi="Times New Roman"/>
          <w:b w:val="1"/>
          <w:color w:val="000000"/>
          <w:sz w:val="24"/>
        </w:rPr>
        <w:t>6. Комплектация и сервисное обслуживание</w:t>
      </w:r>
    </w:p>
    <w:p>
      <w:pPr>
        <w:widowControl w:val="1"/>
        <w:spacing w:lineRule="auto" w:line="252" w:before="0" w:after="100" w:beforeAutospacing="0" w:afterAutospacing="0"/>
        <w:jc w:val="both"/>
      </w:pPr>
      <w:r>
        <w:rPr>
          <w:rFonts w:ascii="Times New Roman" w:hAnsi="Times New Roman"/>
          <w:color w:val="000000"/>
          <w:sz w:val="24"/>
        </w:rPr>
        <w:t>Комплект на каждый слуховой аппарат:</w:t>
      </w:r>
    </w:p>
    <w:p>
      <w:pPr>
        <w:pStyle w:val="P9"/>
        <w:widowControl w:val="1"/>
        <w:numPr>
          <w:ilvl w:val="0"/>
          <w:numId w:val="3"/>
        </w:numPr>
        <w:spacing w:lineRule="auto" w:line="252" w:before="0" w:after="100" w:beforeAutospacing="0" w:afterAutospacing="0"/>
        <w:jc w:val="both"/>
      </w:pPr>
      <w:r>
        <w:rPr>
          <w:rFonts w:ascii="Times New Roman" w:hAnsi="Times New Roman"/>
          <w:color w:val="000000"/>
          <w:sz w:val="24"/>
        </w:rPr>
        <w:t>слуховой аппарат — 1 шт.;</w:t>
      </w:r>
    </w:p>
    <w:p>
      <w:pPr>
        <w:pStyle w:val="P9"/>
        <w:widowControl w:val="1"/>
        <w:numPr>
          <w:ilvl w:val="0"/>
          <w:numId w:val="3"/>
        </w:numPr>
        <w:spacing w:lineRule="auto" w:line="252" w:before="0" w:after="100" w:beforeAutospacing="0" w:afterAutospacing="0"/>
        <w:jc w:val="both"/>
      </w:pPr>
      <w:r>
        <w:rPr>
          <w:rFonts w:ascii="Times New Roman" w:hAnsi="Times New Roman"/>
          <w:color w:val="000000"/>
          <w:sz w:val="24"/>
        </w:rPr>
        <w:t>футляр — 1 шт.;</w:t>
      </w:r>
    </w:p>
    <w:p>
      <w:pPr>
        <w:pStyle w:val="P9"/>
        <w:widowControl w:val="1"/>
        <w:numPr>
          <w:ilvl w:val="0"/>
          <w:numId w:val="3"/>
        </w:numPr>
        <w:spacing w:lineRule="auto" w:line="252" w:before="0" w:after="100" w:beforeAutospacing="0" w:afterAutospacing="0"/>
        <w:jc w:val="both"/>
      </w:pPr>
      <w:r>
        <w:rPr>
          <w:rFonts w:ascii="Times New Roman" w:hAnsi="Times New Roman"/>
          <w:color w:val="000000"/>
          <w:sz w:val="24"/>
        </w:rPr>
        <w:t>элементы питания — 36 шт.: типоразмер 312 для типа 1, типоразмер 13 для типа 2.</w:t>
      </w:r>
    </w:p>
    <w:p>
      <w:pPr>
        <w:widowControl w:val="1"/>
        <w:spacing w:lineRule="auto" w:line="252" w:before="0" w:after="100" w:beforeAutospacing="0" w:afterAutospacing="0"/>
        <w:jc w:val="both"/>
      </w:pPr>
      <w:r>
        <w:rPr>
          <w:rFonts w:ascii="Times New Roman" w:hAnsi="Times New Roman"/>
          <w:color w:val="000000"/>
          <w:sz w:val="24"/>
        </w:rPr>
        <w:t>Срок сервисного обслуживания — не менее 37 месяцев.</w:t>
      </w:r>
    </w:p>
    <w:p>
      <w:pPr>
        <w:pStyle w:val="P7"/>
        <w:pageBreakBefore w:val="1"/>
        <w:widowControl w:val="1"/>
        <w:spacing w:lineRule="auto" w:line="252" w:before="0" w:after="160" w:beforeAutospacing="1" w:afterAutospacing="1"/>
        <w:jc w:val="center"/>
        <w:outlineLvl w:val="0"/>
        <w:rPr>
          <w:b w:val="1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ТЕХНИКАЛЫҚ ЕРЕКШЕЛІК</w:t>
      </w:r>
    </w:p>
    <w:p>
      <w:pPr>
        <w:widowControl w:val="1"/>
        <w:spacing w:lineRule="auto" w:line="252" w:before="0" w:after="100" w:beforeAutospacing="1" w:afterAutospacing="1"/>
        <w:outlineLvl w:val="1"/>
        <w:rPr>
          <w:b w:val="1"/>
          <w:sz w:val="36"/>
        </w:rPr>
      </w:pPr>
      <w:r>
        <w:rPr>
          <w:rFonts w:ascii="Times New Roman" w:hAnsi="Times New Roman"/>
          <w:b w:val="1"/>
          <w:color w:val="000000"/>
          <w:sz w:val="24"/>
        </w:rPr>
        <w:t>Пациенттерді естуді протездеу көмегімен қамтамасыз ету қызметі</w:t>
      </w:r>
      <w:bookmarkStart w:id="0" w:name="_GoBack"/>
      <w:bookmarkEnd w:id="0"/>
    </w:p>
    <w:p>
      <w:pPr>
        <w:pStyle w:val="P1"/>
        <w:widowControl w:val="1"/>
        <w:spacing w:lineRule="auto" w:line="252" w:before="180" w:after="100" w:beforeAutospacing="0" w:afterAutospacing="0"/>
      </w:pPr>
      <w:r>
        <w:rPr>
          <w:rFonts w:ascii="Times New Roman" w:hAnsi="Times New Roman"/>
          <w:color w:val="000000"/>
          <w:sz w:val="24"/>
        </w:rPr>
        <w:t>1. Қызметтің атауы және сипаттамасы</w:t>
      </w:r>
    </w:p>
    <w:p>
      <w:pPr>
        <w:keepNext w:val="1"/>
        <w:widowControl w:val="1"/>
        <w:spacing w:lineRule="auto" w:line="252" w:before="0" w:after="100" w:beforeAutospacing="0" w:afterAutospacing="0"/>
      </w:pPr>
      <w:r>
        <w:rPr>
          <w:b w:val="1"/>
        </w:rPr>
        <w:t>Пациент №1 — бала.</w:t>
      </w:r>
    </w:p>
    <w:p>
      <w:pPr>
        <w:keepNext w:val="1"/>
        <w:widowControl w:val="1"/>
        <w:spacing w:lineRule="auto" w:line="252" w:before="0" w:after="100" w:beforeAutospacing="0" w:afterAutospacing="0"/>
      </w:pPr>
      <w:r>
        <w:t>Есту қабілетінің төмендеуі: оң жақты IV дәрежелі сенсоневралды құлақ мүкістігі.</w:t>
      </w:r>
    </w:p>
    <w:p>
      <w:pPr>
        <w:keepNext w:val="0"/>
        <w:widowControl w:val="1"/>
        <w:spacing w:lineRule="auto" w:line="252" w:before="0" w:after="100" w:beforeAutospacing="0" w:afterAutospacing="0"/>
      </w:pPr>
      <w:r>
        <w:rPr>
          <w:rFonts w:ascii="Times New Roman" w:hAnsi="Times New Roman"/>
          <w:color w:val="000000"/>
          <w:sz w:val="24"/>
        </w:rPr>
        <w:t>Есту аппараттарының саны: 1 дана.</w:t>
      </w:r>
    </w:p>
    <w:p>
      <w:pPr>
        <w:keepNext w:val="1"/>
        <w:widowControl w:val="1"/>
        <w:spacing w:lineRule="auto" w:line="252" w:before="0" w:after="100" w:beforeAutospacing="0" w:afterAutospacing="0"/>
      </w:pPr>
      <w:r>
        <w:rPr>
          <w:b w:val="1"/>
        </w:rPr>
        <w:t>Пациент №2 — бала.</w:t>
      </w:r>
    </w:p>
    <w:p>
      <w:pPr>
        <w:keepNext w:val="1"/>
        <w:widowControl w:val="1"/>
        <w:spacing w:lineRule="auto" w:line="252" w:before="0" w:after="100" w:beforeAutospacing="0" w:afterAutospacing="0"/>
      </w:pPr>
      <w:r>
        <w:t>Есту қабілетінің төмендеуі: оң жақты IV дәрежелі сенсоневралды құлақ мүкістігі.</w:t>
      </w:r>
    </w:p>
    <w:p>
      <w:pPr>
        <w:keepNext w:val="0"/>
        <w:widowControl w:val="1"/>
        <w:spacing w:lineRule="auto" w:line="252" w:before="0" w:after="100" w:beforeAutospacing="0" w:afterAutospacing="0"/>
      </w:pPr>
      <w:r>
        <w:rPr>
          <w:rFonts w:ascii="Times New Roman" w:hAnsi="Times New Roman"/>
          <w:color w:val="000000"/>
          <w:sz w:val="24"/>
        </w:rPr>
        <w:t>Есту аппараттарының саны: 1 дана.</w:t>
      </w:r>
    </w:p>
    <w:p>
      <w:pPr>
        <w:keepNext w:val="1"/>
        <w:widowControl w:val="1"/>
        <w:spacing w:lineRule="auto" w:line="252" w:before="0" w:after="100" w:beforeAutospacing="0" w:afterAutospacing="0"/>
      </w:pPr>
      <w:r>
        <w:rPr>
          <w:b w:val="1"/>
        </w:rPr>
        <w:t>Пациент №3 — бала.</w:t>
      </w:r>
    </w:p>
    <w:p>
      <w:pPr>
        <w:keepNext w:val="1"/>
        <w:widowControl w:val="1"/>
        <w:spacing w:lineRule="auto" w:line="252" w:before="0" w:after="100" w:beforeAutospacing="0" w:afterAutospacing="0"/>
      </w:pPr>
      <w:r>
        <w:t xml:space="preserve">Есту қабілетінің төмендеуі: III дәрежелі құлақ мүкістігі. </w:t>
      </w:r>
      <w:r>
        <w:rPr>
          <w:rFonts w:ascii="Times New Roman" w:hAnsi="Times New Roman"/>
          <w:color w:val="000000"/>
          <w:sz w:val="24"/>
        </w:rPr>
        <w:t>Есту аппараттарының саны: 1 дана.</w:t>
      </w:r>
    </w:p>
    <w:p>
      <w:pPr>
        <w:keepNext w:val="1"/>
        <w:widowControl w:val="1"/>
        <w:spacing w:lineRule="auto" w:line="252" w:before="0" w:after="100" w:beforeAutospacing="0" w:afterAutospacing="0"/>
      </w:pPr>
      <w:r>
        <w:rPr>
          <w:b w:val="1"/>
        </w:rPr>
        <w:t>Пациент №4 — бала.</w:t>
      </w:r>
    </w:p>
    <w:p>
      <w:pPr>
        <w:keepNext w:val="1"/>
        <w:widowControl w:val="1"/>
        <w:spacing w:lineRule="auto" w:line="252" w:before="0" w:after="100" w:beforeAutospacing="0" w:afterAutospacing="0"/>
      </w:pPr>
      <w:r>
        <w:t>Есту қабілетінің төмендеуі: сол жақты IV дәрежелі, оң жақты I дәрежелі сенсоневралды құлақ мүкістігі.</w:t>
      </w:r>
    </w:p>
    <w:p>
      <w:pPr>
        <w:keepNext w:val="0"/>
        <w:widowControl w:val="1"/>
        <w:spacing w:lineRule="auto" w:line="252" w:before="0" w:after="100" w:beforeAutospacing="0" w:afterAutospacing="0"/>
      </w:pPr>
      <w:r>
        <w:rPr>
          <w:rFonts w:ascii="Times New Roman" w:hAnsi="Times New Roman"/>
          <w:color w:val="000000"/>
          <w:sz w:val="24"/>
        </w:rPr>
        <w:t>Есту аппараттарының саны: 1 дана.</w:t>
      </w:r>
    </w:p>
    <w:p>
      <w:pPr>
        <w:widowControl w:val="1"/>
        <w:spacing w:lineRule="auto" w:line="252" w:before="0" w:after="100" w:beforeAutospacing="0" w:afterAutospacing="0"/>
      </w:pPr>
      <w:r>
        <w:rPr>
          <w:rFonts w:ascii="Times New Roman" w:hAnsi="Times New Roman"/>
          <w:b w:val="1"/>
          <w:color w:val="000000"/>
          <w:sz w:val="24"/>
        </w:rPr>
        <w:t>Пациенттердің жалпы саны: 4 бала. Есту аппараттарының жалпы саны: 4 дана (әр балаға 1 данадан), 3-бөлімнің талаптарына сәйкес.</w:t>
      </w:r>
    </w:p>
    <w:p>
      <w:r>
        <w:t xml:space="preserve">Пациенттердің дербес деректері мен тексеру нәтижелері жалпыға қолжетімді техникалық ерекшелікке енгізілмейді. Қызмет көрсетуге қажетті мәліметтер орындаушыға </w:t>
      </w:r>
      <w:r>
        <w:t>бөлек беріледі.</w:t>
      </w:r>
    </w:p>
    <w:p>
      <w:pPr>
        <w:widowControl w:val="1"/>
        <w:spacing w:lineRule="auto" w:line="252" w:before="0" w:after="100" w:beforeAutospacing="0" w:afterAutospacing="0"/>
      </w:pPr>
      <w:r>
        <w:rPr>
          <w:rFonts w:ascii="Times New Roman" w:hAnsi="Times New Roman"/>
          <w:color w:val="000000"/>
          <w:sz w:val="24"/>
        </w:rPr>
        <w:t>Әр пациентке есту аппараты тағылатын құлақ жағы мен аппараттың түрі тексеру нәтижелерін ескере отырып, дәрігердің тағайындауы бойынша анықталады.</w:t>
      </w:r>
    </w:p>
    <w:p>
      <w:pPr>
        <w:widowControl w:val="1"/>
        <w:spacing w:lineRule="auto" w:line="252" w:before="0" w:after="100" w:beforeAutospacing="1" w:afterAutospacing="1"/>
      </w:pPr>
      <w:r>
        <w:rPr>
          <w:rFonts w:ascii="Times New Roman" w:hAnsi="Times New Roman"/>
          <w:color w:val="000000"/>
          <w:sz w:val="24"/>
        </w:rPr>
        <w:t>Атауы: пациенттерді естуді протездеу көмегімен қамтамасыз ету қызметі.</w:t>
      </w:r>
    </w:p>
    <w:p>
      <w:pPr>
        <w:widowControl w:val="1"/>
        <w:spacing w:lineRule="auto" w:line="252" w:before="0" w:after="100" w:beforeAutospacing="1" w:afterAutospacing="1"/>
      </w:pPr>
      <w:r>
        <w:rPr>
          <w:rFonts w:ascii="Times New Roman" w:hAnsi="Times New Roman"/>
          <w:color w:val="000000"/>
          <w:sz w:val="24"/>
        </w:rPr>
        <w:t>Сипаттамасы: қызметке құлақ артына тағылатын цифрлық бағдарламаланатын есту аппаратын таңдау және беру, оны баптау, медициналық көрсетілімдер бойынша жеке құлақ вкладышын дайындау, сондай-ақ кепілді және кепілдіктен кейінгі сервистік қызмет көрсету кіреді.</w:t>
      </w:r>
    </w:p>
    <w:p>
      <w:pPr>
        <w:pStyle w:val="P1"/>
        <w:widowControl w:val="1"/>
        <w:spacing w:lineRule="auto" w:line="252" w:before="180" w:after="100" w:beforeAutospacing="1" w:afterAutospacing="1"/>
        <w:outlineLvl w:val="1"/>
        <w:rPr>
          <w:b w:val="1"/>
          <w:sz w:val="36"/>
        </w:rPr>
      </w:pPr>
      <w:r>
        <w:rPr>
          <w:rFonts w:ascii="Times New Roman" w:hAnsi="Times New Roman"/>
          <w:b w:val="1"/>
          <w:color w:val="000000"/>
          <w:sz w:val="24"/>
        </w:rPr>
        <w:t>2. Қызметтің құрамы</w:t>
      </w:r>
    </w:p>
    <w:p>
      <w:pPr>
        <w:widowControl w:val="1"/>
        <w:numPr>
          <w:ilvl w:val="0"/>
          <w:numId w:val="5"/>
        </w:numPr>
        <w:spacing w:lineRule="auto" w:line="252" w:before="0" w:after="100" w:beforeAutospacing="1" w:afterAutospacing="1"/>
      </w:pPr>
      <w:r>
        <w:rPr>
          <w:rFonts w:ascii="Times New Roman" w:hAnsi="Times New Roman"/>
          <w:color w:val="000000"/>
          <w:sz w:val="24"/>
        </w:rPr>
        <w:t>Пациенттің есту қабілетінің төмендеу дәрежесі мен түрін ескере отырып, есту аппаратын таңдау.</w:t>
      </w:r>
    </w:p>
    <w:p>
      <w:pPr>
        <w:widowControl w:val="1"/>
        <w:numPr>
          <w:ilvl w:val="0"/>
          <w:numId w:val="5"/>
        </w:numPr>
        <w:spacing w:lineRule="auto" w:line="252" w:before="0" w:after="100" w:beforeAutospacing="1" w:afterAutospacing="1"/>
      </w:pPr>
      <w:r>
        <w:rPr>
          <w:rFonts w:ascii="Times New Roman" w:hAnsi="Times New Roman"/>
          <w:color w:val="000000"/>
          <w:sz w:val="24"/>
        </w:rPr>
        <w:t>6-бөлімге сәйкес есту аппаратын жиынтықтамасымен бірге беру.</w:t>
      </w:r>
    </w:p>
    <w:p>
      <w:pPr>
        <w:widowControl w:val="1"/>
        <w:numPr>
          <w:ilvl w:val="0"/>
          <w:numId w:val="5"/>
        </w:numPr>
        <w:spacing w:lineRule="auto" w:line="252" w:before="0" w:after="100" w:beforeAutospacing="1" w:afterAutospacing="1"/>
      </w:pPr>
      <w:r>
        <w:rPr>
          <w:rFonts w:ascii="Times New Roman" w:hAnsi="Times New Roman"/>
          <w:color w:val="000000"/>
          <w:sz w:val="24"/>
        </w:rPr>
        <w:t>Есту аппаратын баптау (бағдарламалау).</w:t>
      </w:r>
    </w:p>
    <w:p>
      <w:pPr>
        <w:widowControl w:val="1"/>
        <w:numPr>
          <w:ilvl w:val="0"/>
          <w:numId w:val="5"/>
        </w:numPr>
        <w:spacing w:lineRule="auto" w:line="252" w:before="0" w:after="100" w:beforeAutospacing="1" w:afterAutospacing="1"/>
      </w:pPr>
      <w:r>
        <w:rPr>
          <w:rFonts w:ascii="Times New Roman" w:hAnsi="Times New Roman"/>
          <w:color w:val="000000"/>
          <w:sz w:val="24"/>
        </w:rPr>
        <w:t>Медициналық көрсетілімдер бойынша жеке құлақ вкладышын дайындау.</w:t>
      </w:r>
    </w:p>
    <w:p>
      <w:pPr>
        <w:widowControl w:val="1"/>
        <w:numPr>
          <w:ilvl w:val="0"/>
          <w:numId w:val="5"/>
        </w:numPr>
        <w:spacing w:lineRule="auto" w:line="252" w:before="0" w:after="100" w:beforeAutospacing="1" w:afterAutospacing="1"/>
      </w:pPr>
      <w:r>
        <w:rPr>
          <w:rFonts w:ascii="Times New Roman" w:hAnsi="Times New Roman"/>
          <w:color w:val="000000"/>
          <w:sz w:val="24"/>
        </w:rPr>
        <w:t>Кепілді және кепілдіктен кейінгі сервистік қызмет көрсету.</w:t>
      </w:r>
    </w:p>
    <w:p>
      <w:pPr>
        <w:pStyle w:val="P1"/>
        <w:widowControl w:val="1"/>
        <w:spacing w:lineRule="auto" w:line="252" w:before="180" w:after="100" w:beforeAutospacing="1" w:afterAutospacing="1"/>
        <w:outlineLvl w:val="1"/>
        <w:rPr>
          <w:b w:val="1"/>
          <w:sz w:val="36"/>
        </w:rPr>
      </w:pPr>
      <w:r>
        <w:rPr>
          <w:rFonts w:ascii="Times New Roman" w:hAnsi="Times New Roman"/>
          <w:b w:val="1"/>
          <w:color w:val="000000"/>
          <w:sz w:val="24"/>
        </w:rPr>
        <w:t>3. Есту аппараттарына қойылатын жалпы талаптар</w:t>
      </w:r>
    </w:p>
    <w:p>
      <w:pPr>
        <w:widowControl w:val="1"/>
        <w:spacing w:lineRule="auto" w:line="252" w:before="0" w:after="100" w:beforeAutospacing="1" w:afterAutospacing="1"/>
      </w:pPr>
      <w:r>
        <w:rPr>
          <w:rFonts w:ascii="Times New Roman" w:hAnsi="Times New Roman"/>
          <w:color w:val="000000"/>
          <w:sz w:val="24"/>
        </w:rPr>
        <w:t>Есту аппараттары Қазақстан Республикасында қолдануға тіркелген және рұқсат етілген болуы тиіс. Бұл талап Қазақстан Республикасының 2020 жылғы 7 шілдедегі № 360-VI ҚРЗ «Халық денсаулығы және денсаулық сақтау жүйесі туралы» Кодексінің 23-бабына сәйкес орындалуы тиіс. Жеткізуші тіркеу куәлігінің көшірмесін ұсынады.</w:t>
      </w:r>
    </w:p>
    <w:p>
      <w:pPr>
        <w:widowControl w:val="1"/>
        <w:spacing w:lineRule="auto" w:line="252" w:before="0" w:after="100" w:beforeAutospacing="1" w:afterAutospacing="1"/>
      </w:pPr>
      <w:r>
        <w:rPr>
          <w:rFonts w:ascii="Times New Roman" w:hAnsi="Times New Roman"/>
          <w:color w:val="000000"/>
          <w:sz w:val="24"/>
        </w:rPr>
        <w:t>Жеткізуші есту аппараттарының екі түрінің болуын қамтамасыз етеді:</w:t>
      </w:r>
    </w:p>
    <w:tbl>
      <w:tblPr>
        <w:tblW w:w="0" w:type="auto"/>
        <w:tblCellSpacing w:w="15" w:type="dxa"/>
        <w:tblBorders>
          <w:top w:val="single" w:sz="4" w:space="0" w:shadow="0" w:frame="0" w:color="D9D9D9"/>
          <w:left w:val="single" w:sz="4" w:space="0" w:shadow="0" w:frame="0" w:color="D9D9D9"/>
          <w:bottom w:val="single" w:sz="4" w:space="0" w:shadow="0" w:frame="0" w:color="D9D9D9"/>
          <w:right w:val="single" w:sz="4" w:space="0" w:shadow="0" w:frame="0" w:color="D9D9D9"/>
          <w:insideH w:val="single" w:sz="4" w:space="0" w:shadow="0" w:frame="0" w:color="D9D9D9"/>
          <w:insideV w:val="single" w:sz="4" w:space="0" w:shadow="0" w:frame="0" w:color="D9D9D9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rPr>
          <w:cantSplit/>
          <w:tblHeader/>
          <w:tblCellSpacing w:w="15" w:type="dxa"/>
        </w:trPr>
        <w:tc>
          <w:tcPr>
            <w:tcW w:w="3118" w:type="dxa"/>
            <w:shd w:val="clear" w:color="auto" w:fill="EDEDED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Параметр</w:t>
            </w:r>
          </w:p>
        </w:tc>
        <w:tc>
          <w:tcPr>
            <w:tcW w:w="3231" w:type="dxa"/>
            <w:shd w:val="clear" w:color="auto" w:fill="EDEDED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1-тип</w:t>
            </w:r>
          </w:p>
        </w:tc>
        <w:tc>
          <w:tcPr>
            <w:tcW w:w="3288" w:type="dxa"/>
            <w:shd w:val="clear" w:color="auto" w:fill="EDEDED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2-тип</w:t>
            </w:r>
          </w:p>
        </w:tc>
      </w:tr>
      <w:tr>
        <w:trPr>
          <w:cantSplit/>
          <w:tblCellSpacing w:w="15" w:type="dxa"/>
        </w:trPr>
        <w:tc>
          <w:tcPr>
            <w:tcW w:w="311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Есту қабілетінің төмендеу дәрежесі</w:t>
            </w:r>
          </w:p>
        </w:tc>
        <w:tc>
          <w:tcPr>
            <w:tcW w:w="3231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I–III</w:t>
            </w:r>
          </w:p>
        </w:tc>
        <w:tc>
          <w:tcPr>
            <w:tcW w:w="32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II–IV</w:t>
            </w:r>
          </w:p>
        </w:tc>
      </w:tr>
      <w:tr>
        <w:trPr>
          <w:cantSplit/>
          <w:tblCellSpacing w:w="15" w:type="dxa"/>
        </w:trPr>
        <w:tc>
          <w:tcPr>
            <w:tcW w:w="311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Есту қабілетінің төмендеу түрі</w:t>
            </w:r>
          </w:p>
        </w:tc>
        <w:tc>
          <w:tcPr>
            <w:tcW w:w="3231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нейросенсорлық, кондуктивтік, аралас</w:t>
            </w:r>
          </w:p>
        </w:tc>
        <w:tc>
          <w:tcPr>
            <w:tcW w:w="32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нейросенсорлық, кондуктивтік, аралас</w:t>
            </w:r>
          </w:p>
        </w:tc>
      </w:tr>
      <w:tr>
        <w:trPr>
          <w:cantSplit/>
          <w:tblCellSpacing w:w="15" w:type="dxa"/>
        </w:trPr>
        <w:tc>
          <w:tcPr>
            <w:tcW w:w="311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Конструкциясы</w:t>
            </w:r>
          </w:p>
        </w:tc>
        <w:tc>
          <w:tcPr>
            <w:tcW w:w="3231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цифрлық бағдарламаланатын, құлақ артына тағылатын (BTE)</w:t>
            </w:r>
          </w:p>
        </w:tc>
        <w:tc>
          <w:tcPr>
            <w:tcW w:w="32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цифрлық бағдарламаланатын, құлақ артына тағылатын (BTE)</w:t>
            </w:r>
          </w:p>
        </w:tc>
      </w:tr>
      <w:tr>
        <w:trPr>
          <w:cantSplit/>
          <w:tblCellSpacing w:w="15" w:type="dxa"/>
        </w:trPr>
        <w:tc>
          <w:tcPr>
            <w:tcW w:w="311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Қуат элементі</w:t>
            </w:r>
          </w:p>
        </w:tc>
        <w:tc>
          <w:tcPr>
            <w:tcW w:w="3231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ауыстырмалы, ауа-мырышты, 1,3 В</w:t>
            </w:r>
          </w:p>
        </w:tc>
        <w:tc>
          <w:tcPr>
            <w:tcW w:w="32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ауыстырмалы, ауа-мырышты, 1,3 В</w:t>
            </w:r>
          </w:p>
        </w:tc>
      </w:tr>
      <w:tr>
        <w:trPr>
          <w:cantSplit/>
          <w:tblCellSpacing w:w="15" w:type="dxa"/>
        </w:trPr>
        <w:tc>
          <w:tcPr>
            <w:tcW w:w="311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Қуат элементінің типтік өлшемі</w:t>
            </w:r>
          </w:p>
        </w:tc>
        <w:tc>
          <w:tcPr>
            <w:tcW w:w="3231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312</w:t>
            </w:r>
          </w:p>
        </w:tc>
        <w:tc>
          <w:tcPr>
            <w:tcW w:w="3288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13</w:t>
            </w:r>
          </w:p>
        </w:tc>
      </w:tr>
    </w:tbl>
    <w:p>
      <w:pPr>
        <w:widowControl w:val="1"/>
        <w:spacing w:lineRule="auto" w:line="252" w:before="0" w:after="100" w:beforeAutospacing="1" w:afterAutospacing="1"/>
      </w:pPr>
      <w:r>
        <w:rPr>
          <w:rFonts w:ascii="Times New Roman" w:hAnsi="Times New Roman"/>
          <w:color w:val="000000"/>
          <w:sz w:val="24"/>
        </w:rPr>
        <w:t>Егер өзгеше көрсетілмесе, 4 және 5-бөлімдердің талаптары екі типке де қолданылады.</w:t>
      </w:r>
    </w:p>
    <w:p>
      <w:pPr>
        <w:pStyle w:val="P1"/>
        <w:widowControl w:val="1"/>
        <w:spacing w:lineRule="auto" w:line="252" w:before="180" w:after="100" w:beforeAutospacing="1" w:afterAutospacing="1"/>
        <w:outlineLvl w:val="1"/>
        <w:rPr>
          <w:b w:val="1"/>
          <w:sz w:val="36"/>
        </w:rPr>
      </w:pPr>
      <w:r>
        <w:rPr>
          <w:rFonts w:ascii="Times New Roman" w:hAnsi="Times New Roman"/>
          <w:color w:val="000000"/>
          <w:sz w:val="24"/>
        </w:rPr>
        <w:t>4. Функционалдық талаптар</w:t>
      </w:r>
    </w:p>
    <w:p>
      <w:pPr>
        <w:pStyle w:val="P2"/>
        <w:widowControl w:val="1"/>
        <w:spacing w:lineRule="auto" w:line="252" w:before="180" w:after="100" w:beforeAutospacing="1" w:afterAutospacing="1"/>
        <w:outlineLvl w:val="2"/>
        <w:rPr>
          <w:b w:val="1"/>
          <w:sz w:val="27"/>
        </w:rPr>
      </w:pPr>
      <w:r>
        <w:rPr>
          <w:rFonts w:ascii="Times New Roman" w:hAnsi="Times New Roman"/>
          <w:color w:val="000000"/>
          <w:sz w:val="24"/>
        </w:rPr>
        <w:t>4.1. Сигналды өңдеу</w:t>
      </w:r>
    </w:p>
    <w:tbl>
      <w:tblPr>
        <w:tblW w:w="0" w:type="auto"/>
        <w:tblCellSpacing w:w="15" w:type="dxa"/>
        <w:tblBorders>
          <w:top w:val="single" w:sz="4" w:space="0" w:shadow="0" w:frame="0" w:color="D9D9D9"/>
          <w:left w:val="single" w:sz="4" w:space="0" w:shadow="0" w:frame="0" w:color="D9D9D9"/>
          <w:bottom w:val="single" w:sz="4" w:space="0" w:shadow="0" w:frame="0" w:color="D9D9D9"/>
          <w:right w:val="single" w:sz="4" w:space="0" w:shadow="0" w:frame="0" w:color="D9D9D9"/>
          <w:insideH w:val="single" w:sz="4" w:space="0" w:shadow="0" w:frame="0" w:color="D9D9D9"/>
          <w:insideV w:val="single" w:sz="4" w:space="0" w:shadow="0" w:frame="0" w:color="D9D9D9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rPr>
          <w:cantSplit/>
          <w:tblHeader/>
          <w:tblCellSpacing w:w="15" w:type="dxa"/>
        </w:trPr>
        <w:tc>
          <w:tcPr>
            <w:tcW w:w="5783" w:type="dxa"/>
            <w:shd w:val="clear" w:color="auto" w:fill="EDEDED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Сипаттамасы</w:t>
            </w:r>
          </w:p>
        </w:tc>
        <w:tc>
          <w:tcPr>
            <w:tcW w:w="3855" w:type="dxa"/>
            <w:shd w:val="clear" w:color="auto" w:fill="EDEDED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Талап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Сигналды өңдеу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цифрлық, көпарналы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Тәуелсіз жиілік арналары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кемінде 12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Реттелетін компрессия арналары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кемінде 12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Кең динамикалық диапазондағы компрессия (WDRC)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Қабылданатын дыбыстар диапазонын кеңейтуге арналған жиіліктік компрессия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Тыңдау режимінің автоматты режимі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Пайдаланушыны баптауды жекелендіру үшін орналасқан акустикалық жағдайларды жіктеу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Қолайлы бейімделу үшін күшейтуді мақсатты мәндерге дейін автоматты түрде біртіндеп өзгерту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Аппаратты пайдалану туралы деректерді тіркеу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Құлақтағы шуды (тиннитусты) жеңілдетуге арналған шу генераторы, пайдаланушының шу деңгейін реттеу мүмкіндігімен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</w:tbl>
    <w:p>
      <w:pPr>
        <w:pStyle w:val="P2"/>
        <w:widowControl w:val="1"/>
        <w:spacing w:lineRule="auto" w:line="252" w:before="180" w:after="100" w:beforeAutospacing="1" w:afterAutospacing="1"/>
        <w:outlineLvl w:val="2"/>
        <w:rPr>
          <w:b w:val="1"/>
          <w:sz w:val="27"/>
        </w:rPr>
      </w:pPr>
      <w:r>
        <w:rPr>
          <w:rFonts w:ascii="Times New Roman" w:hAnsi="Times New Roman"/>
          <w:color w:val="000000"/>
          <w:sz w:val="24"/>
        </w:rPr>
        <w:t>4.2. Микрофондар және кедергілерді басу</w:t>
      </w:r>
    </w:p>
    <w:tbl>
      <w:tblPr>
        <w:tblW w:w="0" w:type="auto"/>
        <w:tblCellSpacing w:w="15" w:type="dxa"/>
        <w:tblBorders>
          <w:top w:val="single" w:sz="4" w:space="0" w:shadow="0" w:frame="0" w:color="D9D9D9"/>
          <w:left w:val="single" w:sz="4" w:space="0" w:shadow="0" w:frame="0" w:color="D9D9D9"/>
          <w:bottom w:val="single" w:sz="4" w:space="0" w:shadow="0" w:frame="0" w:color="D9D9D9"/>
          <w:right w:val="single" w:sz="4" w:space="0" w:shadow="0" w:frame="0" w:color="D9D9D9"/>
          <w:insideH w:val="single" w:sz="4" w:space="0" w:shadow="0" w:frame="0" w:color="D9D9D9"/>
          <w:insideV w:val="single" w:sz="4" w:space="0" w:shadow="0" w:frame="0" w:color="D9D9D9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rPr>
          <w:cantSplit/>
          <w:tblHeader/>
          <w:tblCellSpacing w:w="15" w:type="dxa"/>
        </w:trPr>
        <w:tc>
          <w:tcPr>
            <w:tcW w:w="5783" w:type="dxa"/>
            <w:shd w:val="clear" w:color="auto" w:fill="EDEDED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Сипаттамасы</w:t>
            </w:r>
          </w:p>
        </w:tc>
        <w:tc>
          <w:tcPr>
            <w:tcW w:w="3855" w:type="dxa"/>
            <w:shd w:val="clear" w:color="auto" w:fill="EDEDED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Талап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Бағытталған микрофондар жүйесі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2 микрофон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Микрофондар жүйесінің бағыттылығы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көпжолақты және/немесе адаптивті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Цифрлық шуды басу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Шу аясында сөйлеуді ерекшелеу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Жел шуын басу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Импульстік дыбыстарды басу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Кері байланысты (ысқырықты) адаптивті басу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Микрофонның өзіндік шуын автоматты түрде азайту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</w:tbl>
    <w:p>
      <w:pPr>
        <w:pStyle w:val="P2"/>
        <w:widowControl w:val="1"/>
        <w:spacing w:lineRule="auto" w:line="252" w:before="180" w:after="100" w:beforeAutospacing="1" w:afterAutospacing="1"/>
        <w:outlineLvl w:val="2"/>
        <w:rPr>
          <w:b w:val="1"/>
          <w:sz w:val="27"/>
        </w:rPr>
      </w:pPr>
      <w:r>
        <w:rPr>
          <w:rFonts w:ascii="Times New Roman" w:hAnsi="Times New Roman"/>
          <w:color w:val="000000"/>
          <w:sz w:val="24"/>
        </w:rPr>
        <w:t>4.3. Сымсыз байланыс</w:t>
      </w:r>
    </w:p>
    <w:tbl>
      <w:tblPr>
        <w:tblW w:w="0" w:type="auto"/>
        <w:tblCellSpacing w:w="15" w:type="dxa"/>
        <w:tblBorders>
          <w:top w:val="single" w:sz="4" w:space="0" w:shadow="0" w:frame="0" w:color="D9D9D9"/>
          <w:left w:val="single" w:sz="4" w:space="0" w:shadow="0" w:frame="0" w:color="D9D9D9"/>
          <w:bottom w:val="single" w:sz="4" w:space="0" w:shadow="0" w:frame="0" w:color="D9D9D9"/>
          <w:right w:val="single" w:sz="4" w:space="0" w:shadow="0" w:frame="0" w:color="D9D9D9"/>
          <w:insideH w:val="single" w:sz="4" w:space="0" w:shadow="0" w:frame="0" w:color="D9D9D9"/>
          <w:insideV w:val="single" w:sz="4" w:space="0" w:shadow="0" w:frame="0" w:color="D9D9D9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rPr>
          <w:cantSplit/>
          <w:tblHeader/>
          <w:tblCellSpacing w:w="15" w:type="dxa"/>
        </w:trPr>
        <w:tc>
          <w:tcPr>
            <w:tcW w:w="5783" w:type="dxa"/>
            <w:shd w:val="clear" w:color="auto" w:fill="EDEDED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Сипаттамасы</w:t>
            </w:r>
          </w:p>
        </w:tc>
        <w:tc>
          <w:tcPr>
            <w:tcW w:w="3855" w:type="dxa"/>
            <w:shd w:val="clear" w:color="auto" w:fill="EDEDED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Талап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Сыртқы құрылғылармен және аксессуарлармен кіріктірілген сымсыз байланыс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Смартфондарға, ноутбуктерге және басқа құрылғыларға қосылуға арналған Bluetooth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Bluetooth үйлесімді профильдерін қолдайтын смартфондармен және қарапайым ұялы телефондармен үйлесімділігі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Bluetooth арқылы «қолсыз» режимде телефонмен сөйлесу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болуы; пайдаланушының дауысын аппарат микрофондары қабылдайды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Bluetooth арқылы мультимедиялық дыбысты ағындық беру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Ағындық дыбысты автоматты өңдеу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болуы; сөйлеу және музыка үшін жеке режимдер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Ағындық дыбысты қабылдау бағдарламалары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сыртқы микрофон, Bluetooth арқылы телефон, сымсыз микрофон жүйесі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Сымсыз микрофон жүйелерінен дыбысты тікелей қабылдау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Телефон катушкасы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болуы; көпфункциялы батырманы ұзақ басу арқылы бағдарламаға тікелей қол жеткізу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Смартфон арқылы дыбыс деңгейі мен бағдарламаларды қашықтан басқару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болуы; тегін мобильді қосымша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Сымсыз аксессуарларды қолдау (жиынтыққа кірмейді)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теледидар адаптері, сыртқы микрофон, қашықтан басқару пульті, сымсыз микрофон жүйелері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Теледидар адаптерін қосу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кез келген дыбыс көзіне: теледидарға, компьютерге, аудиожүйеге</w:t>
            </w:r>
          </w:p>
        </w:tc>
      </w:tr>
    </w:tbl>
    <w:p>
      <w:pPr>
        <w:pStyle w:val="P2"/>
        <w:widowControl w:val="1"/>
        <w:spacing w:lineRule="auto" w:line="252" w:before="180" w:after="100" w:beforeAutospacing="1" w:afterAutospacing="1"/>
        <w:outlineLvl w:val="2"/>
        <w:rPr>
          <w:b w:val="1"/>
          <w:sz w:val="27"/>
        </w:rPr>
      </w:pPr>
      <w:r>
        <w:rPr>
          <w:rFonts w:ascii="Times New Roman" w:hAnsi="Times New Roman"/>
          <w:color w:val="000000"/>
          <w:sz w:val="24"/>
        </w:rPr>
        <w:t>4.4. Басқару және индикация</w:t>
      </w:r>
    </w:p>
    <w:tbl>
      <w:tblPr>
        <w:tblW w:w="0" w:type="auto"/>
        <w:tblCellSpacing w:w="15" w:type="dxa"/>
        <w:tblBorders>
          <w:top w:val="single" w:sz="4" w:space="0" w:shadow="0" w:frame="0" w:color="D9D9D9"/>
          <w:left w:val="single" w:sz="4" w:space="0" w:shadow="0" w:frame="0" w:color="D9D9D9"/>
          <w:bottom w:val="single" w:sz="4" w:space="0" w:shadow="0" w:frame="0" w:color="D9D9D9"/>
          <w:right w:val="single" w:sz="4" w:space="0" w:shadow="0" w:frame="0" w:color="D9D9D9"/>
          <w:insideH w:val="single" w:sz="4" w:space="0" w:shadow="0" w:frame="0" w:color="D9D9D9"/>
          <w:insideV w:val="single" w:sz="4" w:space="0" w:shadow="0" w:frame="0" w:color="D9D9D9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rPr>
          <w:cantSplit/>
          <w:tblHeader/>
          <w:tblCellSpacing w:w="15" w:type="dxa"/>
        </w:trPr>
        <w:tc>
          <w:tcPr>
            <w:tcW w:w="5783" w:type="dxa"/>
            <w:shd w:val="clear" w:color="auto" w:fill="EDEDED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Сипаттамасы</w:t>
            </w:r>
          </w:p>
        </w:tc>
        <w:tc>
          <w:tcPr>
            <w:tcW w:w="3855" w:type="dxa"/>
            <w:shd w:val="clear" w:color="auto" w:fill="EDEDED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Талап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Корпустағы дыбыс деңгейін реттегіш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болуы; қолмен басқарылатын, бағдарламаланатын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Акустикалық бағдарламаларды ауыстыру батырмасы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болуы; бағдарламаланатын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Корпустағы көпфункциялы батырма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бағдарламаларды ауыстыру, дыбыс деңгейін реттеу, кіріс қоңырауларды қабылдау және қабылдамау (баптауға байланысты)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Қосылуды кідірту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болуы; ұзақтығын баптау және бастапқы бағдарламаны таңдау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Дыбыстық индикация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бағдарламаланатын, көптонды: бағдарламаларды ауыстыру, дыбыс деңгейін өзгерту, қуат элементінің разряды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Дыбыс деңгейінің шекті мәнін дыбыстық индикациялау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ең жоғары және ең төмен деңгейге жеткен кезде</w:t>
            </w:r>
          </w:p>
        </w:tc>
      </w:tr>
    </w:tbl>
    <w:p>
      <w:pPr>
        <w:pStyle w:val="P2"/>
        <w:widowControl w:val="1"/>
        <w:spacing w:lineRule="auto" w:line="252" w:before="180" w:after="100" w:beforeAutospacing="1" w:afterAutospacing="1"/>
        <w:outlineLvl w:val="2"/>
        <w:rPr>
          <w:b w:val="1"/>
          <w:sz w:val="27"/>
        </w:rPr>
      </w:pPr>
      <w:r>
        <w:rPr>
          <w:rFonts w:ascii="Times New Roman" w:hAnsi="Times New Roman"/>
          <w:color w:val="000000"/>
          <w:sz w:val="24"/>
        </w:rPr>
        <w:t>4.5. Акустикалық қосылу</w:t>
      </w:r>
    </w:p>
    <w:tbl>
      <w:tblPr>
        <w:tblW w:w="0" w:type="auto"/>
        <w:tblCellSpacing w:w="15" w:type="dxa"/>
        <w:tblBorders>
          <w:top w:val="single" w:sz="4" w:space="0" w:shadow="0" w:frame="0" w:color="D9D9D9"/>
          <w:left w:val="single" w:sz="4" w:space="0" w:shadow="0" w:frame="0" w:color="D9D9D9"/>
          <w:bottom w:val="single" w:sz="4" w:space="0" w:shadow="0" w:frame="0" w:color="D9D9D9"/>
          <w:right w:val="single" w:sz="4" w:space="0" w:shadow="0" w:frame="0" w:color="D9D9D9"/>
          <w:insideH w:val="single" w:sz="4" w:space="0" w:shadow="0" w:frame="0" w:color="D9D9D9"/>
          <w:insideV w:val="single" w:sz="4" w:space="0" w:shadow="0" w:frame="0" w:color="D9D9D9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rPr>
          <w:cantSplit/>
          <w:tblHeader/>
          <w:tblCellSpacing w:w="15" w:type="dxa"/>
        </w:trPr>
        <w:tc>
          <w:tcPr>
            <w:tcW w:w="5783" w:type="dxa"/>
            <w:shd w:val="clear" w:color="auto" w:fill="EDEDED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Сипаттамасы</w:t>
            </w:r>
          </w:p>
        </w:tc>
        <w:tc>
          <w:tcPr>
            <w:tcW w:w="3855" w:type="dxa"/>
            <w:shd w:val="clear" w:color="auto" w:fill="EDEDED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Талап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Дыбыс өткізгіш түрлері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стандартты дыбыс өткізгіш және жұқа дыбыс өткізгіш (жұқа түтікше)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Дыбыстық ілмектер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сүзгісі бар және сүзгісіз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Жұқа түтікшеге арналған стандартты вкладыштар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ашық, желдетілетін, жоғары қуатты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Жұқа түтікшеге арналған жеке құлақ вкладышы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пайдалану мүмкіндігі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Жұқа түтікшеге арналған бекіткіш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</w:tbl>
    <w:p>
      <w:pPr>
        <w:pStyle w:val="P2"/>
        <w:widowControl w:val="1"/>
        <w:spacing w:lineRule="auto" w:line="252" w:before="180" w:after="100" w:beforeAutospacing="1" w:afterAutospacing="1"/>
        <w:outlineLvl w:val="2"/>
        <w:rPr>
          <w:b w:val="1"/>
          <w:sz w:val="27"/>
        </w:rPr>
      </w:pPr>
      <w:r>
        <w:rPr>
          <w:rFonts w:ascii="Times New Roman" w:hAnsi="Times New Roman"/>
          <w:color w:val="000000"/>
          <w:sz w:val="24"/>
        </w:rPr>
        <w:t>4.6. Баптау және қорғау</w:t>
      </w:r>
    </w:p>
    <w:tbl>
      <w:tblPr>
        <w:tblW w:w="0" w:type="auto"/>
        <w:tblCellSpacing w:w="15" w:type="dxa"/>
        <w:tblBorders>
          <w:top w:val="single" w:sz="4" w:space="0" w:shadow="0" w:frame="0" w:color="D9D9D9"/>
          <w:left w:val="single" w:sz="4" w:space="0" w:shadow="0" w:frame="0" w:color="D9D9D9"/>
          <w:bottom w:val="single" w:sz="4" w:space="0" w:shadow="0" w:frame="0" w:color="D9D9D9"/>
          <w:right w:val="single" w:sz="4" w:space="0" w:shadow="0" w:frame="0" w:color="D9D9D9"/>
          <w:insideH w:val="single" w:sz="4" w:space="0" w:shadow="0" w:frame="0" w:color="D9D9D9"/>
          <w:insideV w:val="single" w:sz="4" w:space="0" w:shadow="0" w:frame="0" w:color="D9D9D9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rPr>
          <w:cantSplit/>
          <w:tblHeader/>
          <w:tblCellSpacing w:w="15" w:type="dxa"/>
        </w:trPr>
        <w:tc>
          <w:tcPr>
            <w:tcW w:w="5783" w:type="dxa"/>
            <w:shd w:val="clear" w:color="auto" w:fill="EDEDED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Сипаттамасы</w:t>
            </w:r>
          </w:p>
        </w:tc>
        <w:tc>
          <w:tcPr>
            <w:tcW w:w="3855" w:type="dxa"/>
            <w:shd w:val="clear" w:color="auto" w:fill="EDEDED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Талап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Баптау тәсілі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мамандандырылған бағдарламалық қамтамасыз ету арқылы цифрлық бағдарламалау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Сымсыз бағдарламалау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Бастапқы баптаудың қадамдық режимі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болуы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Корпустың қорғаныс жабыны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ылғалдан, терден және құлықтан қорғау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Шаң мен ылғалдан қорғау дәрежесі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IP68-ден төмен емес</w:t>
            </w:r>
          </w:p>
        </w:tc>
      </w:tr>
    </w:tbl>
    <w:p>
      <w:pPr>
        <w:pStyle w:val="P1"/>
        <w:widowControl w:val="1"/>
        <w:spacing w:lineRule="auto" w:line="252" w:before="180" w:after="100" w:beforeAutospacing="1" w:afterAutospacing="1"/>
        <w:outlineLvl w:val="1"/>
        <w:rPr>
          <w:b w:val="1"/>
          <w:sz w:val="36"/>
        </w:rPr>
      </w:pPr>
      <w:r>
        <w:rPr>
          <w:rFonts w:ascii="Times New Roman" w:hAnsi="Times New Roman"/>
          <w:color w:val="000000"/>
          <w:sz w:val="24"/>
        </w:rPr>
        <w:t>5. Электроакустикалық параметрлер</w:t>
      </w:r>
    </w:p>
    <w:p>
      <w:pPr>
        <w:widowControl w:val="1"/>
        <w:spacing w:lineRule="auto" w:line="252" w:before="0" w:after="100" w:beforeAutospacing="1" w:afterAutospacing="1"/>
      </w:pPr>
      <w:r>
        <w:rPr>
          <w:rFonts w:ascii="Times New Roman" w:hAnsi="Times New Roman"/>
          <w:color w:val="000000"/>
          <w:sz w:val="24"/>
        </w:rPr>
        <w:t>Параметрлер ANSI/ASA S3.22-2014 (R2020) / IEC 60118-0:2022 стандарттарына сәйкес 2 см³ байланыс камерасында (куплерде) өлшенеді.</w:t>
      </w:r>
    </w:p>
    <w:tbl>
      <w:tblPr>
        <w:tblW w:w="0" w:type="auto"/>
        <w:tblCellSpacing w:w="15" w:type="dxa"/>
        <w:tblBorders>
          <w:top w:val="single" w:sz="4" w:space="0" w:shadow="0" w:frame="0" w:color="D9D9D9"/>
          <w:left w:val="single" w:sz="4" w:space="0" w:shadow="0" w:frame="0" w:color="D9D9D9"/>
          <w:bottom w:val="single" w:sz="4" w:space="0" w:shadow="0" w:frame="0" w:color="D9D9D9"/>
          <w:right w:val="single" w:sz="4" w:space="0" w:shadow="0" w:frame="0" w:color="D9D9D9"/>
          <w:insideH w:val="single" w:sz="4" w:space="0" w:shadow="0" w:frame="0" w:color="D9D9D9"/>
          <w:insideV w:val="single" w:sz="4" w:space="0" w:shadow="0" w:frame="0" w:color="D9D9D9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rPr>
          <w:cantSplit/>
          <w:tblHeader/>
          <w:tblCellSpacing w:w="15" w:type="dxa"/>
        </w:trPr>
        <w:tc>
          <w:tcPr>
            <w:tcW w:w="5783" w:type="dxa"/>
            <w:shd w:val="clear" w:color="auto" w:fill="EDEDED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Параметр</w:t>
            </w:r>
          </w:p>
        </w:tc>
        <w:tc>
          <w:tcPr>
            <w:tcW w:w="3855" w:type="dxa"/>
            <w:shd w:val="clear" w:color="auto" w:fill="EDEDED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Талап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Дыбыстық қысымның максималды шығыс деңгейі (OSPL90), дБ ДҚД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аппараттың түрі мен акустикалық қосылуына байланысты 122–139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50 дБ ДҚД кіріс сигналы кезіндегі максималды акустикалық күшейту, дБ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аппараттың түрі мен акустикалық қосылуына байланысты 58–81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Жиілік диапазоны, Гц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төменгі шегі 100-ден төмен; жоғарғы шегі аппараттың түрі мен акустикалық қосылуына байланысты 4900–8000-нан жоғары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Эквивалентті кіріс шуы, дБ ДҚД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19-дан аспайды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Гармоникалық бұрмалану коэффициенті, %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5,0-ден аспайды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Индукциялық катушканың сезімталдығы (HFA-SPLIV), дБ ДҚД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95–112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Тұтыну тогы, мА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2,1-ден аспайды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Бір қуат элементімен жұмыс істеу уақыты, сағ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кемінде 85</w:t>
            </w:r>
          </w:p>
        </w:tc>
      </w:tr>
      <w:tr>
        <w:trPr>
          <w:cantSplit/>
          <w:tblCellSpacing w:w="15" w:type="dxa"/>
        </w:trPr>
        <w:tc>
          <w:tcPr>
            <w:tcW w:w="5783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Сигналды өңдеу кідірісі, мс</w:t>
            </w:r>
          </w:p>
        </w:tc>
        <w:tc>
          <w:tcPr>
            <w:tcW w:w="3855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  <w:hideMark/>
          </w:tcPr>
          <w:p>
            <w:pPr>
              <w:keepNext w:val="0"/>
              <w:spacing w:lineRule="auto" w:line="240" w:before="0" w:after="0" w:beforeAutospacing="0" w:afterAutospacing="0"/>
            </w:pPr>
            <w:r>
              <w:rPr>
                <w:rFonts w:ascii="Times New Roman" w:hAnsi="Times New Roman"/>
                <w:b w:val="0"/>
                <w:color w:val="000000"/>
                <w:sz w:val="22"/>
              </w:rPr>
              <w:t>6,5-тен аспайды</w:t>
            </w:r>
          </w:p>
        </w:tc>
      </w:tr>
    </w:tbl>
    <w:p>
      <w:pPr>
        <w:pStyle w:val="P1"/>
        <w:widowControl w:val="1"/>
        <w:spacing w:lineRule="auto" w:line="252" w:before="180" w:after="100" w:beforeAutospacing="1" w:afterAutospacing="1"/>
        <w:outlineLvl w:val="1"/>
        <w:rPr>
          <w:b w:val="1"/>
          <w:sz w:val="36"/>
        </w:rPr>
      </w:pPr>
      <w:r>
        <w:rPr>
          <w:rFonts w:ascii="Times New Roman" w:hAnsi="Times New Roman"/>
          <w:b w:val="1"/>
          <w:color w:val="000000"/>
          <w:sz w:val="24"/>
        </w:rPr>
        <w:t>6. Жиынтықтылығы және сервистік қызмет көрсету</w:t>
      </w:r>
    </w:p>
    <w:p>
      <w:pPr>
        <w:widowControl w:val="1"/>
        <w:spacing w:lineRule="auto" w:line="252" w:before="0" w:after="100" w:beforeAutospacing="1" w:afterAutospacing="1"/>
      </w:pPr>
      <w:r>
        <w:rPr>
          <w:rFonts w:ascii="Times New Roman" w:hAnsi="Times New Roman"/>
          <w:color w:val="000000"/>
          <w:sz w:val="24"/>
        </w:rPr>
        <w:t>Әрбір есту аппаратына арналған жиынтық:</w:t>
      </w:r>
    </w:p>
    <w:p>
      <w:pPr>
        <w:widowControl w:val="1"/>
        <w:spacing w:lineRule="auto" w:line="252" w:before="0" w:after="100" w:beforeAutospacing="1" w:afterAutospacing="1"/>
      </w:pPr>
      <w:r>
        <w:rPr>
          <w:rFonts w:ascii="Times New Roman" w:hAnsi="Times New Roman"/>
          <w:color w:val="000000"/>
          <w:sz w:val="24"/>
        </w:rPr>
        <w:t>– есту аппараты — 1 дана;</w:t>
      </w:r>
    </w:p>
    <w:p>
      <w:pPr>
        <w:widowControl w:val="1"/>
        <w:spacing w:lineRule="auto" w:line="252" w:before="0" w:after="100" w:beforeAutospacing="1" w:afterAutospacing="1"/>
      </w:pPr>
      <w:r>
        <w:rPr>
          <w:rFonts w:ascii="Times New Roman" w:hAnsi="Times New Roman"/>
          <w:color w:val="000000"/>
          <w:sz w:val="24"/>
        </w:rPr>
        <w:t>– қап — 1 дана;</w:t>
      </w:r>
    </w:p>
    <w:p>
      <w:pPr>
        <w:widowControl w:val="1"/>
        <w:spacing w:lineRule="auto" w:line="252" w:before="0" w:after="100" w:beforeAutospacing="1" w:afterAutospacing="1"/>
      </w:pPr>
      <w:r>
        <w:rPr>
          <w:rFonts w:ascii="Times New Roman" w:hAnsi="Times New Roman"/>
          <w:color w:val="000000"/>
          <w:sz w:val="24"/>
        </w:rPr>
        <w:t>– қуат элементтері — 36 дана: 1-тип үшін 312 өлшемді, 2-тип үшін 13 өлшемді.</w:t>
      </w:r>
    </w:p>
    <w:p>
      <w:pPr>
        <w:widowControl w:val="1"/>
        <w:spacing w:lineRule="auto" w:line="252" w:before="0" w:after="100" w:beforeAutospacing="1" w:afterAutospacing="1"/>
      </w:pPr>
      <w:r>
        <w:rPr>
          <w:rFonts w:ascii="Times New Roman" w:hAnsi="Times New Roman"/>
          <w:color w:val="000000"/>
          <w:sz w:val="24"/>
        </w:rPr>
        <w:t>Сервистік қызмет көрсету мерзімі — кемінде 37 ай.</w:t>
      </w:r>
    </w:p>
    <w:p>
      <w:pPr>
        <w:widowControl w:val="1"/>
        <w:spacing w:lineRule="auto" w:line="252" w:before="0" w:after="100" w:beforeAutospacing="0" w:afterAutospacing="0"/>
      </w:pPr>
    </w:p>
    <w:sectPr>
      <w:footerReference xmlns:r="http://schemas.openxmlformats.org/officeDocument/2006/relationships" w:type="default" r:id="RelFtr1"/>
      <w:type w:val="nextPage"/>
      <w:pgSz w:w="11906" w:h="16838" w:code="9"/>
      <w:pgMar w:left="1134" w:right="1134" w:top="1020" w:bottom="1417" w:header="708" w:footer="709" w:gutter="0"/>
      <w:cols w:equalWidth="1" w:space="72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jc w:val="center"/>
    </w:pP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>
      <w:rPr>
        <w:sz w:val="20"/>
      </w:rPr>
      <w:t>#</w:t>
    </w:r>
    <w:r>
      <w:rPr>
        <w:sz w:val="20"/>
      </w:rPr>
      <w:fldChar w:fldCharType="end"/>
    </w:r>
  </w:p>
</w:ftr>
</file>

<file path=word/numbering.xml><?xml version="1.0" encoding="utf-8"?>
<w:numbering xmlns:w="http://schemas.openxmlformats.org/wordprocessingml/2006/main">
  <w:abstractNum w:abstractNumId="0">
    <w:nsid w:val="15EB008F"/>
    <w:multiLevelType w:val="hybridMultilevel"/>
    <w:lvl w:ilvl="0" w:tplc="DF5423DC">
      <w:start w:val="1"/>
      <w:numFmt w:val="bullet"/>
      <w:suff w:val="tab"/>
      <w:lvlText w:val="●"/>
      <w:lvlJc w:val="left"/>
      <w:pPr>
        <w:ind w:hanging="360" w:left="720"/>
      </w:pPr>
      <w:rPr/>
    </w:lvl>
    <w:lvl w:ilvl="1" w:tplc="FF7AB4F4">
      <w:start w:val="1"/>
      <w:numFmt w:val="bullet"/>
      <w:suff w:val="tab"/>
      <w:lvlText w:val="○"/>
      <w:lvlJc w:val="left"/>
      <w:pPr>
        <w:ind w:hanging="360" w:left="1440"/>
      </w:pPr>
      <w:rPr/>
    </w:lvl>
    <w:lvl w:ilvl="2" w:tplc="7D209FA0">
      <w:start w:val="1"/>
      <w:numFmt w:val="bullet"/>
      <w:suff w:val="tab"/>
      <w:lvlText w:val="■"/>
      <w:lvlJc w:val="left"/>
      <w:pPr>
        <w:ind w:hanging="360" w:left="2160"/>
      </w:pPr>
      <w:rPr/>
    </w:lvl>
    <w:lvl w:ilvl="3" w:tplc="5720D846">
      <w:start w:val="1"/>
      <w:numFmt w:val="bullet"/>
      <w:suff w:val="tab"/>
      <w:lvlText w:val="●"/>
      <w:lvlJc w:val="left"/>
      <w:pPr>
        <w:ind w:hanging="360" w:left="2880"/>
      </w:pPr>
      <w:rPr/>
    </w:lvl>
    <w:lvl w:ilvl="4" w:tplc="8936537A">
      <w:start w:val="1"/>
      <w:numFmt w:val="bullet"/>
      <w:suff w:val="tab"/>
      <w:lvlText w:val="○"/>
      <w:lvlJc w:val="left"/>
      <w:pPr>
        <w:ind w:hanging="360" w:left="3600"/>
      </w:pPr>
      <w:rPr/>
    </w:lvl>
    <w:lvl w:ilvl="5" w:tplc="DEB08C8A">
      <w:start w:val="1"/>
      <w:numFmt w:val="bullet"/>
      <w:suff w:val="tab"/>
      <w:lvlText w:val="■"/>
      <w:lvlJc w:val="left"/>
      <w:pPr>
        <w:ind w:hanging="360" w:left="4320"/>
      </w:pPr>
      <w:rPr/>
    </w:lvl>
    <w:lvl w:ilvl="6" w:tplc="2A323576">
      <w:start w:val="1"/>
      <w:numFmt w:val="bullet"/>
      <w:suff w:val="tab"/>
      <w:lvlText w:val="●"/>
      <w:lvlJc w:val="left"/>
      <w:pPr>
        <w:ind w:hanging="360" w:left="5040"/>
      </w:pPr>
      <w:rPr/>
    </w:lvl>
    <w:lvl w:ilvl="7" w:tplc="3A6E0D0E">
      <w:start w:val="1"/>
      <w:numFmt w:val="bullet"/>
      <w:suff w:val="tab"/>
      <w:lvlText w:val="●"/>
      <w:lvlJc w:val="left"/>
      <w:pPr>
        <w:ind w:hanging="360" w:left="5760"/>
      </w:pPr>
      <w:rPr/>
    </w:lvl>
    <w:lvl w:ilvl="8" w:tplc="0F06BE0E">
      <w:start w:val="1"/>
      <w:numFmt w:val="bullet"/>
      <w:suff w:val="tab"/>
      <w:lvlText w:val="●"/>
      <w:lvlJc w:val="left"/>
      <w:pPr>
        <w:ind w:hanging="360" w:left="6480"/>
      </w:pPr>
      <w:rPr/>
    </w:lvl>
  </w:abstractNum>
  <w:abstractNum w:abstractNumId="1">
    <w:nsid w:val="383D4D7A"/>
    <w:multiLevelType w:val="multilevel"/>
    <w:lvl w:ilvl="0">
      <w:start w:val="1"/>
      <w:numFmt w:val="decimal"/>
      <w:suff w:val="tab"/>
      <w:lvlText w:val="%1."/>
      <w:lvlJc w:val="left"/>
      <w:pPr>
        <w:ind w:hanging="360" w:left="720"/>
        <w:tabs>
          <w:tab w:val="left" w:pos="720" w:leader="none"/>
        </w:tabs>
      </w:pPr>
      <w:rPr/>
    </w:lvl>
    <w:lvl w:ilvl="1">
      <w:start w:val="1"/>
      <w:numFmt w:val="decimal"/>
      <w:suff w:val="tab"/>
      <w:lvlText w:val="%2."/>
      <w:lvlJc w:val="left"/>
      <w:pPr>
        <w:ind w:hanging="360" w:left="1440"/>
        <w:tabs>
          <w:tab w:val="left" w:pos="1440" w:leader="none"/>
        </w:tabs>
      </w:pPr>
      <w:rPr/>
    </w:lvl>
    <w:lvl w:ilvl="2">
      <w:start w:val="1"/>
      <w:numFmt w:val="decimal"/>
      <w:suff w:val="tab"/>
      <w:lvlText w:val="%3."/>
      <w:lvlJc w:val="left"/>
      <w:pPr>
        <w:ind w:hanging="360" w:left="2160"/>
        <w:tabs>
          <w:tab w:val="left" w:pos="2160" w:leader="none"/>
        </w:tabs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  <w:tabs>
          <w:tab w:val="left" w:pos="2880" w:leader="none"/>
        </w:tabs>
      </w:pPr>
      <w:rPr/>
    </w:lvl>
    <w:lvl w:ilvl="4">
      <w:start w:val="1"/>
      <w:numFmt w:val="decimal"/>
      <w:suff w:val="tab"/>
      <w:lvlText w:val="%5."/>
      <w:lvlJc w:val="left"/>
      <w:pPr>
        <w:ind w:hanging="360" w:left="3600"/>
        <w:tabs>
          <w:tab w:val="left" w:pos="3600" w:leader="none"/>
        </w:tabs>
      </w:pPr>
      <w:rPr/>
    </w:lvl>
    <w:lvl w:ilvl="5">
      <w:start w:val="1"/>
      <w:numFmt w:val="decimal"/>
      <w:suff w:val="tab"/>
      <w:lvlText w:val="%6."/>
      <w:lvlJc w:val="left"/>
      <w:pPr>
        <w:ind w:hanging="360" w:left="4320"/>
        <w:tabs>
          <w:tab w:val="left" w:pos="4320" w:leader="none"/>
        </w:tabs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  <w:tabs>
          <w:tab w:val="left" w:pos="5040" w:leader="none"/>
        </w:tabs>
      </w:pPr>
      <w:rPr/>
    </w:lvl>
    <w:lvl w:ilvl="7">
      <w:start w:val="1"/>
      <w:numFmt w:val="decimal"/>
      <w:suff w:val="tab"/>
      <w:lvlText w:val="%8."/>
      <w:lvlJc w:val="left"/>
      <w:pPr>
        <w:ind w:hanging="360" w:left="5760"/>
        <w:tabs>
          <w:tab w:val="left" w:pos="5760" w:leader="none"/>
        </w:tabs>
      </w:pPr>
      <w:rPr/>
    </w:lvl>
    <w:lvl w:ilvl="8">
      <w:start w:val="1"/>
      <w:numFmt w:val="decimal"/>
      <w:suff w:val="tab"/>
      <w:lvlText w:val="%9."/>
      <w:lvlJc w:val="left"/>
      <w:pPr>
        <w:ind w:hanging="360" w:left="6480"/>
        <w:tabs>
          <w:tab w:val="left" w:pos="6480" w:leader="none"/>
        </w:tabs>
      </w:pPr>
      <w:rPr/>
    </w:lvl>
  </w:abstractNum>
  <w:abstractNum w:abstractNumId="2">
    <w:nsid w:val="44831124"/>
    <w:multiLevelType w:val="hybridMultilevel"/>
    <w:lvl w:ilvl="0" w:tplc="FF343A18">
      <w:start w:val="1"/>
      <w:numFmt w:val="bullet"/>
      <w:suff w:val="tab"/>
      <w:lvlText w:val="–"/>
      <w:lvlJc w:val="left"/>
      <w:pPr>
        <w:ind w:hanging="340" w:left="567"/>
      </w:pPr>
      <w:rPr>
        <w:rFonts w:ascii="Times New Roman" w:hAnsi="Times New Roman"/>
        <w:sz w:val="24"/>
      </w:rPr>
    </w:lvl>
    <w:lvl w:ilvl="1" w:tplc="1C66D926">
      <w:start w:val="1"/>
      <w:numFmt w:val="decimal"/>
      <w:suff w:val="tab"/>
      <w:lvlText w:val=""/>
      <w:lvlJc w:val="left"/>
      <w:pPr/>
      <w:rPr/>
    </w:lvl>
    <w:lvl w:ilvl="2" w:tplc="14345F0C">
      <w:start w:val="1"/>
      <w:numFmt w:val="decimal"/>
      <w:suff w:val="tab"/>
      <w:lvlText w:val=""/>
      <w:lvlJc w:val="left"/>
      <w:pPr/>
      <w:rPr/>
    </w:lvl>
    <w:lvl w:ilvl="3" w:tplc="AC3AA044">
      <w:start w:val="1"/>
      <w:numFmt w:val="decimal"/>
      <w:suff w:val="tab"/>
      <w:lvlText w:val=""/>
      <w:lvlJc w:val="left"/>
      <w:pPr/>
      <w:rPr/>
    </w:lvl>
    <w:lvl w:ilvl="4" w:tplc="BE66D7EA">
      <w:start w:val="1"/>
      <w:numFmt w:val="decimal"/>
      <w:suff w:val="tab"/>
      <w:lvlText w:val=""/>
      <w:lvlJc w:val="left"/>
      <w:pPr/>
      <w:rPr/>
    </w:lvl>
    <w:lvl w:ilvl="5" w:tplc="BDAA98E8">
      <w:start w:val="1"/>
      <w:numFmt w:val="decimal"/>
      <w:suff w:val="tab"/>
      <w:lvlText w:val=""/>
      <w:lvlJc w:val="left"/>
      <w:pPr/>
      <w:rPr/>
    </w:lvl>
    <w:lvl w:ilvl="6" w:tplc="61047470">
      <w:start w:val="1"/>
      <w:numFmt w:val="decimal"/>
      <w:suff w:val="tab"/>
      <w:lvlText w:val=""/>
      <w:lvlJc w:val="left"/>
      <w:pPr/>
      <w:rPr/>
    </w:lvl>
    <w:lvl w:ilvl="7" w:tplc="6A82683E">
      <w:start w:val="1"/>
      <w:numFmt w:val="decimal"/>
      <w:suff w:val="tab"/>
      <w:lvlText w:val=""/>
      <w:lvlJc w:val="left"/>
      <w:pPr/>
      <w:rPr/>
    </w:lvl>
    <w:lvl w:ilvl="8" w:tplc="7B4A603C">
      <w:start w:val="1"/>
      <w:numFmt w:val="decimal"/>
      <w:suff w:val="tab"/>
      <w:lvlText w:val=""/>
      <w:lvlJc w:val="left"/>
      <w:pPr/>
      <w:rPr/>
    </w:lvl>
  </w:abstractNum>
  <w:abstractNum w:abstractNumId="3">
    <w:nsid w:val="669C39CF"/>
    <w:multiLevelType w:val="hybridMultilevel"/>
    <w:lvl w:ilvl="0" w:tplc="142C4E0C">
      <w:start w:val="1"/>
      <w:numFmt w:val="decimal"/>
      <w:suff w:val="tab"/>
      <w:lvlText w:val="%1)"/>
      <w:lvlJc w:val="left"/>
      <w:pPr>
        <w:ind w:hanging="340" w:left="567"/>
      </w:pPr>
      <w:rPr>
        <w:rFonts w:ascii="Times New Roman" w:hAnsi="Times New Roman"/>
        <w:sz w:val="24"/>
      </w:rPr>
    </w:lvl>
    <w:lvl w:ilvl="1" w:tplc="9B54792C">
      <w:start w:val="1"/>
      <w:numFmt w:val="decimal"/>
      <w:suff w:val="tab"/>
      <w:lvlText w:val=""/>
      <w:lvlJc w:val="left"/>
      <w:pPr/>
      <w:rPr/>
    </w:lvl>
    <w:lvl w:ilvl="2" w:tplc="0D10A3E8">
      <w:start w:val="1"/>
      <w:numFmt w:val="decimal"/>
      <w:suff w:val="tab"/>
      <w:lvlText w:val=""/>
      <w:lvlJc w:val="left"/>
      <w:pPr/>
      <w:rPr/>
    </w:lvl>
    <w:lvl w:ilvl="3" w:tplc="9BB87C38">
      <w:start w:val="1"/>
      <w:numFmt w:val="decimal"/>
      <w:suff w:val="tab"/>
      <w:lvlText w:val=""/>
      <w:lvlJc w:val="left"/>
      <w:pPr/>
      <w:rPr/>
    </w:lvl>
    <w:lvl w:ilvl="4" w:tplc="D35019BC">
      <w:start w:val="1"/>
      <w:numFmt w:val="decimal"/>
      <w:suff w:val="tab"/>
      <w:lvlText w:val=""/>
      <w:lvlJc w:val="left"/>
      <w:pPr/>
      <w:rPr/>
    </w:lvl>
    <w:lvl w:ilvl="5" w:tplc="8DC65936">
      <w:start w:val="1"/>
      <w:numFmt w:val="decimal"/>
      <w:suff w:val="tab"/>
      <w:lvlText w:val=""/>
      <w:lvlJc w:val="left"/>
      <w:pPr/>
      <w:rPr/>
    </w:lvl>
    <w:lvl w:ilvl="6" w:tplc="FFCE13C6">
      <w:start w:val="1"/>
      <w:numFmt w:val="decimal"/>
      <w:suff w:val="tab"/>
      <w:lvlText w:val=""/>
      <w:lvlJc w:val="left"/>
      <w:pPr/>
      <w:rPr/>
    </w:lvl>
    <w:lvl w:ilvl="7" w:tplc="E1040922">
      <w:start w:val="1"/>
      <w:numFmt w:val="decimal"/>
      <w:suff w:val="tab"/>
      <w:lvlText w:val=""/>
      <w:lvlJc w:val="left"/>
      <w:pPr/>
      <w:rPr/>
    </w:lvl>
    <w:lvl w:ilvl="8" w:tplc="BA2CB800">
      <w:start w:val="1"/>
      <w:numFmt w:val="decimal"/>
      <w:suff w:val="tab"/>
      <w:lvlText w:val=""/>
      <w:lvlJc w:val="left"/>
      <w:pPr/>
      <w:rPr/>
    </w:lvl>
  </w:abstractNum>
  <w:abstractNum w:abstractNumId="4">
    <w:nsid w:val="67725CD3"/>
    <w:multiLevelType w:val="hybridMultilevel"/>
    <w:lvl w:ilvl="0" w:tplc="F86266AE">
      <w:start w:val="1"/>
      <w:numFmt w:val="decimal"/>
      <w:suff w:val="tab"/>
      <w:lvlText w:val="%1."/>
      <w:lvlJc w:val="left"/>
      <w:pPr>
        <w:ind w:hanging="360" w:left="768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88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208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928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48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68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88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808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528"/>
      </w:pPr>
      <w:rPr/>
    </w:lvl>
  </w:abstractNum>
  <w:num w:numId="1">
    <w:abstractNumId w:val="0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>
      <w:spacing w:lineRule="auto" w:line="252" w:after="100" w:beforeAutospacing="0" w:afterAutospacing="0"/>
    </w:pPr>
    <w:rPr>
      <w:rFonts w:ascii="Times New Roman" w:hAnsi="Times New Roman"/>
      <w:sz w:val="24"/>
    </w:rPr>
  </w:style>
  <w:style w:type="paragraph" w:styleId="P1">
    <w:name w:val="heading 1"/>
    <w:qFormat/>
    <w:pPr>
      <w:keepNext w:val="1"/>
      <w:spacing w:before="180" w:after="100" w:beforeAutospacing="0" w:afterAutospacing="0"/>
      <w:outlineLvl w:val="0"/>
    </w:pPr>
    <w:rPr>
      <w:rFonts w:ascii="Times New Roman" w:hAnsi="Times New Roman"/>
      <w:b w:val="1"/>
      <w:color w:val="000000"/>
      <w:sz w:val="24"/>
    </w:rPr>
  </w:style>
  <w:style w:type="paragraph" w:styleId="P2">
    <w:name w:val="heading 2"/>
    <w:semiHidden/>
    <w:qFormat/>
    <w:pPr>
      <w:keepNext w:val="1"/>
      <w:spacing w:before="180" w:after="100" w:beforeAutospacing="0" w:afterAutospacing="0"/>
      <w:outlineLvl w:val="1"/>
    </w:pPr>
    <w:rPr>
      <w:rFonts w:ascii="Times New Roman" w:hAnsi="Times New Roman"/>
      <w:b w:val="1"/>
      <w:color w:val="000000"/>
      <w:sz w:val="24"/>
    </w:rPr>
  </w:style>
  <w:style w:type="paragraph" w:styleId="P3">
    <w:name w:val="heading 3"/>
    <w:semiHidden/>
    <w:qFormat/>
    <w:pPr>
      <w:outlineLvl w:val="2"/>
    </w:pPr>
    <w:rPr>
      <w:color w:val="1F4D78"/>
    </w:rPr>
  </w:style>
  <w:style w:type="paragraph" w:styleId="P4">
    <w:name w:val="heading 4"/>
    <w:semiHidden/>
    <w:qFormat/>
    <w:pPr>
      <w:outlineLvl w:val="3"/>
    </w:pPr>
    <w:rPr>
      <w:i w:val="1"/>
      <w:color w:val="2E74B5"/>
    </w:rPr>
  </w:style>
  <w:style w:type="paragraph" w:styleId="P5">
    <w:name w:val="heading 5"/>
    <w:semiHidden/>
    <w:qFormat/>
    <w:pPr>
      <w:outlineLvl w:val="4"/>
    </w:pPr>
    <w:rPr>
      <w:color w:val="2E74B5"/>
    </w:rPr>
  </w:style>
  <w:style w:type="paragraph" w:styleId="P6">
    <w:name w:val="heading 6"/>
    <w:semiHidden/>
    <w:qFormat/>
    <w:pPr>
      <w:outlineLvl w:val="5"/>
    </w:pPr>
    <w:rPr>
      <w:color w:val="1F4D78"/>
    </w:rPr>
  </w:style>
  <w:style w:type="paragraph" w:styleId="P7">
    <w:name w:val="Title"/>
    <w:qFormat/>
    <w:pPr>
      <w:keepNext w:val="1"/>
      <w:spacing w:before="180" w:after="100" w:beforeAutospacing="0" w:afterAutospacing="0"/>
    </w:pPr>
    <w:rPr>
      <w:rFonts w:ascii="Times New Roman" w:hAnsi="Times New Roman"/>
      <w:b w:val="1"/>
      <w:color w:val="000000"/>
      <w:sz w:val="28"/>
    </w:rPr>
  </w:style>
  <w:style w:type="paragraph" w:styleId="P8">
    <w:name w:val="Строгий1"/>
    <w:qFormat/>
    <w:pPr/>
    <w:rPr>
      <w:b w:val="1"/>
    </w:rPr>
  </w:style>
  <w:style w:type="paragraph" w:styleId="P9">
    <w:name w:val="List Paragraph"/>
    <w:qFormat/>
    <w:pPr/>
    <w:rPr/>
  </w:style>
  <w:style w:type="paragraph" w:styleId="P10">
    <w:name w:val="footnote text"/>
    <w:link w:val="C4"/>
    <w:semiHidden/>
    <w:pPr/>
    <w:rPr>
      <w:sz w:val="20"/>
    </w:rPr>
  </w:style>
  <w:style w:type="paragraph" w:styleId="P11">
    <w:name w:val="endnote text"/>
    <w:link w:val="C6"/>
    <w:semiHidden/>
    <w:pPr/>
    <w:rPr>
      <w:sz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563C1"/>
      <w:u w:val="single"/>
    </w:rPr>
  </w:style>
  <w:style w:type="character" w:styleId="C3">
    <w:name w:val="footnote reference"/>
    <w:semiHidden/>
    <w:rPr>
      <w:vertAlign w:val="superscript"/>
    </w:rPr>
  </w:style>
  <w:style w:type="character" w:styleId="C4">
    <w:name w:val="Текст сноски Знак"/>
    <w:link w:val="P10"/>
    <w:semiHidden/>
    <w:rPr>
      <w:sz w:val="20"/>
    </w:rPr>
  </w:style>
  <w:style w:type="character" w:styleId="C5">
    <w:name w:val="endnote reference"/>
    <w:semiHidden/>
    <w:rPr>
      <w:vertAlign w:val="superscript"/>
    </w:rPr>
  </w:style>
  <w:style w:type="character" w:styleId="C6">
    <w:name w:val="Текст концевой сноски Знак"/>
    <w:link w:val="P11"/>
    <w:semiHidden/>
    <w:rPr>
      <w:sz w:val="20"/>
    </w:rPr>
  </w:style>
  <w:style w:type="character" w:styleId="C7">
    <w:name w:val="ypks7kbdpwfgdykd3qb9"/>
    <w:basedOn w:val="C0"/>
    <w:rPr/>
  </w:style>
  <w:style w:type="table" w:styleId="T0" w:default="1">
    <w:name w:val="Normal Table"/>
    <w:semiHidden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Ftr1" Type="http://schemas.openxmlformats.org/officeDocument/2006/relationships/footer" Target="foot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