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92B" w:rsidRDefault="002750EB">
      <w:pPr>
        <w:jc w:val="right"/>
        <w:rPr>
          <w:i/>
          <w:sz w:val="28"/>
          <w:szCs w:val="28"/>
        </w:rPr>
      </w:pPr>
      <w:r>
        <w:rPr>
          <w:i/>
          <w:sz w:val="28"/>
          <w:szCs w:val="28"/>
        </w:rPr>
        <w:t xml:space="preserve">Приложение </w:t>
      </w:r>
      <w:r>
        <w:rPr>
          <w:i/>
          <w:sz w:val="28"/>
          <w:szCs w:val="28"/>
          <w:lang w:val="kk-KZ"/>
        </w:rPr>
        <w:t>2</w:t>
      </w:r>
      <w:r>
        <w:rPr>
          <w:i/>
          <w:sz w:val="28"/>
          <w:szCs w:val="28"/>
        </w:rPr>
        <w:t xml:space="preserve"> к Договору </w:t>
      </w:r>
    </w:p>
    <w:p w:rsidR="0024092B" w:rsidRDefault="002750EB">
      <w:pPr>
        <w:jc w:val="right"/>
        <w:rPr>
          <w:i/>
          <w:sz w:val="28"/>
          <w:szCs w:val="28"/>
        </w:rPr>
      </w:pPr>
      <w:r>
        <w:rPr>
          <w:i/>
          <w:sz w:val="28"/>
          <w:szCs w:val="28"/>
        </w:rPr>
        <w:t xml:space="preserve"> </w:t>
      </w:r>
    </w:p>
    <w:p w:rsidR="0024092B" w:rsidRDefault="0024092B">
      <w:pPr>
        <w:jc w:val="center"/>
        <w:rPr>
          <w:b/>
          <w:sz w:val="18"/>
          <w:szCs w:val="18"/>
        </w:rPr>
      </w:pPr>
    </w:p>
    <w:p w:rsidR="0024092B" w:rsidRDefault="002750EB">
      <w:pPr>
        <w:jc w:val="center"/>
        <w:rPr>
          <w:b/>
          <w:sz w:val="28"/>
          <w:szCs w:val="28"/>
        </w:rPr>
      </w:pPr>
      <w:r>
        <w:rPr>
          <w:b/>
          <w:sz w:val="28"/>
          <w:szCs w:val="28"/>
          <w:lang w:val="kk-KZ"/>
        </w:rPr>
        <w:t>Т</w:t>
      </w:r>
      <w:r>
        <w:rPr>
          <w:b/>
          <w:sz w:val="28"/>
          <w:szCs w:val="28"/>
        </w:rPr>
        <w:t>ехническая спецификация закупаемых услуг</w:t>
      </w:r>
    </w:p>
    <w:p w:rsidR="0024092B" w:rsidRDefault="0024092B">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1"/>
        <w:gridCol w:w="2552"/>
        <w:gridCol w:w="11765"/>
      </w:tblGrid>
      <w:tr w:rsidR="0024092B">
        <w:trPr>
          <w:trHeight w:val="834"/>
        </w:trPr>
        <w:tc>
          <w:tcPr>
            <w:tcW w:w="851" w:type="dxa"/>
            <w:vAlign w:val="center"/>
          </w:tcPr>
          <w:p w:rsidR="0024092B" w:rsidRDefault="002750EB">
            <w:pPr>
              <w:jc w:val="center"/>
              <w:rPr>
                <w:b/>
                <w:sz w:val="28"/>
                <w:szCs w:val="28"/>
                <w:lang w:val="kk-KZ"/>
              </w:rPr>
            </w:pPr>
            <w:r>
              <w:rPr>
                <w:b/>
                <w:sz w:val="28"/>
                <w:szCs w:val="28"/>
              </w:rPr>
              <w:t>№</w:t>
            </w:r>
          </w:p>
          <w:p w:rsidR="0024092B" w:rsidRDefault="002750EB">
            <w:pPr>
              <w:jc w:val="center"/>
              <w:rPr>
                <w:b/>
                <w:sz w:val="28"/>
                <w:szCs w:val="28"/>
              </w:rPr>
            </w:pPr>
            <w:r>
              <w:rPr>
                <w:b/>
                <w:sz w:val="28"/>
                <w:szCs w:val="28"/>
              </w:rPr>
              <w:t>п/п</w:t>
            </w:r>
          </w:p>
        </w:tc>
        <w:tc>
          <w:tcPr>
            <w:tcW w:w="2552" w:type="dxa"/>
            <w:tcBorders>
              <w:right w:val="single" w:sz="4" w:space="0" w:color="auto"/>
            </w:tcBorders>
            <w:vAlign w:val="center"/>
          </w:tcPr>
          <w:p w:rsidR="0024092B" w:rsidRDefault="002750EB">
            <w:pPr>
              <w:jc w:val="center"/>
              <w:rPr>
                <w:b/>
                <w:sz w:val="28"/>
                <w:szCs w:val="28"/>
              </w:rPr>
            </w:pPr>
            <w:r>
              <w:rPr>
                <w:b/>
                <w:sz w:val="28"/>
                <w:szCs w:val="28"/>
              </w:rPr>
              <w:t>Наименование услуг</w:t>
            </w:r>
          </w:p>
        </w:tc>
        <w:tc>
          <w:tcPr>
            <w:tcW w:w="11765" w:type="dxa"/>
            <w:tcBorders>
              <w:left w:val="single" w:sz="4" w:space="0" w:color="auto"/>
            </w:tcBorders>
            <w:vAlign w:val="center"/>
          </w:tcPr>
          <w:p w:rsidR="0024092B" w:rsidRDefault="002750EB">
            <w:pPr>
              <w:jc w:val="center"/>
              <w:rPr>
                <w:b/>
                <w:sz w:val="28"/>
                <w:szCs w:val="28"/>
              </w:rPr>
            </w:pPr>
            <w:r>
              <w:rPr>
                <w:b/>
                <w:sz w:val="28"/>
                <w:szCs w:val="28"/>
              </w:rPr>
              <w:t>Техническая спецификация, характеристика услуг</w:t>
            </w:r>
          </w:p>
        </w:tc>
      </w:tr>
      <w:tr w:rsidR="0024092B">
        <w:trPr>
          <w:trHeight w:val="288"/>
        </w:trPr>
        <w:tc>
          <w:tcPr>
            <w:tcW w:w="851" w:type="dxa"/>
          </w:tcPr>
          <w:p w:rsidR="0024092B" w:rsidRDefault="002750EB">
            <w:pPr>
              <w:jc w:val="center"/>
              <w:rPr>
                <w:sz w:val="28"/>
                <w:szCs w:val="28"/>
              </w:rPr>
            </w:pPr>
            <w:r>
              <w:rPr>
                <w:sz w:val="28"/>
                <w:szCs w:val="28"/>
              </w:rPr>
              <w:t>1</w:t>
            </w:r>
          </w:p>
        </w:tc>
        <w:tc>
          <w:tcPr>
            <w:tcW w:w="2552" w:type="dxa"/>
            <w:tcBorders>
              <w:right w:val="single" w:sz="4" w:space="0" w:color="auto"/>
            </w:tcBorders>
          </w:tcPr>
          <w:p w:rsidR="0024092B" w:rsidRDefault="002750EB">
            <w:pPr>
              <w:jc w:val="center"/>
              <w:rPr>
                <w:sz w:val="28"/>
                <w:szCs w:val="28"/>
                <w:lang w:val="kk-KZ"/>
              </w:rPr>
            </w:pPr>
            <w:r>
              <w:rPr>
                <w:sz w:val="28"/>
                <w:szCs w:val="28"/>
                <w:lang w:val="kk-KZ"/>
              </w:rPr>
              <w:t>2</w:t>
            </w:r>
          </w:p>
        </w:tc>
        <w:tc>
          <w:tcPr>
            <w:tcW w:w="11765" w:type="dxa"/>
            <w:tcBorders>
              <w:left w:val="single" w:sz="4" w:space="0" w:color="auto"/>
            </w:tcBorders>
          </w:tcPr>
          <w:p w:rsidR="0024092B" w:rsidRDefault="002750EB">
            <w:pPr>
              <w:jc w:val="center"/>
              <w:rPr>
                <w:sz w:val="28"/>
                <w:szCs w:val="28"/>
                <w:lang w:val="kk-KZ"/>
              </w:rPr>
            </w:pPr>
            <w:r>
              <w:rPr>
                <w:sz w:val="28"/>
                <w:szCs w:val="28"/>
                <w:lang w:val="kk-KZ"/>
              </w:rPr>
              <w:t>3</w:t>
            </w:r>
          </w:p>
        </w:tc>
      </w:tr>
      <w:tr w:rsidR="0024092B">
        <w:trPr>
          <w:trHeight w:val="642"/>
        </w:trPr>
        <w:tc>
          <w:tcPr>
            <w:tcW w:w="851" w:type="dxa"/>
            <w:tcBorders>
              <w:bottom w:val="single" w:sz="4" w:space="0" w:color="auto"/>
              <w:right w:val="single" w:sz="4" w:space="0" w:color="auto"/>
            </w:tcBorders>
          </w:tcPr>
          <w:p w:rsidR="0024092B" w:rsidRDefault="0024092B"/>
        </w:tc>
        <w:tc>
          <w:tcPr>
            <w:tcW w:w="2552" w:type="dxa"/>
            <w:tcBorders>
              <w:left w:val="single" w:sz="4" w:space="0" w:color="auto"/>
              <w:bottom w:val="single" w:sz="4" w:space="0" w:color="auto"/>
              <w:right w:val="single" w:sz="4" w:space="0" w:color="auto"/>
            </w:tcBorders>
          </w:tcPr>
          <w:p w:rsidR="0024092B" w:rsidRDefault="002750EB">
            <w:pPr>
              <w:rPr>
                <w:b/>
              </w:rPr>
            </w:pPr>
            <w:r>
              <w:rPr>
                <w:b/>
              </w:rPr>
              <w:t xml:space="preserve">Услуги по техническому обслуживанию систем автоматической пожарной сигнализации </w:t>
            </w:r>
          </w:p>
          <w:p w:rsidR="0024092B" w:rsidRDefault="0024092B"/>
          <w:p w:rsidR="0024092B" w:rsidRDefault="0024092B">
            <w:pPr>
              <w:rPr>
                <w:rFonts w:eastAsiaTheme="majorEastAsia"/>
              </w:rPr>
            </w:pPr>
          </w:p>
          <w:p w:rsidR="0024092B" w:rsidRDefault="0024092B"/>
        </w:tc>
        <w:tc>
          <w:tcPr>
            <w:tcW w:w="11765" w:type="dxa"/>
            <w:tcBorders>
              <w:left w:val="single" w:sz="4" w:space="0" w:color="auto"/>
              <w:bottom w:val="single" w:sz="4" w:space="0" w:color="auto"/>
              <w:right w:val="single" w:sz="4" w:space="0" w:color="auto"/>
            </w:tcBorders>
          </w:tcPr>
          <w:p w:rsidR="0024092B" w:rsidRDefault="002750EB">
            <w:pPr>
              <w:rPr>
                <w:rFonts w:eastAsiaTheme="majorEastAsia"/>
              </w:rPr>
            </w:pPr>
            <w:r>
              <w:rPr>
                <w:rFonts w:eastAsiaTheme="majorEastAsia"/>
              </w:rPr>
              <w:t xml:space="preserve">Пожарная сигнализация зданий. </w:t>
            </w:r>
          </w:p>
          <w:p w:rsidR="0024092B" w:rsidRDefault="002750EB">
            <w:r>
              <w:t>Система автоматической пожарной сигнализации представляет собой комплекс технических средств, служащих для своевременного обнаружения возгорания. Как правило, пожарная сигнализация интегрируется в комплекс, объединяющий системы безопасности и инженерные системы здания, обеспечивая достоверной адресной информацией системы оповещения, пожаротушения, дымоудаления, контроля доступа и др.</w:t>
            </w:r>
          </w:p>
          <w:p w:rsidR="0024092B" w:rsidRDefault="002750EB">
            <w:r>
              <w:t xml:space="preserve">Техническое обслуживание </w:t>
            </w:r>
            <w:r>
              <w:rPr>
                <w:rFonts w:eastAsiaTheme="majorEastAsia"/>
              </w:rPr>
              <w:t>АПС</w:t>
            </w:r>
            <w:r>
              <w:t>:</w:t>
            </w:r>
          </w:p>
          <w:p w:rsidR="0024092B" w:rsidRDefault="002750EB">
            <w:r>
              <w:t>- устранение неисправностей при необходимости;</w:t>
            </w:r>
          </w:p>
          <w:p w:rsidR="0024092B" w:rsidRDefault="002750EB">
            <w:r>
              <w:t>- замена неработоспособных –датчиков и приборов, системы функционально эквивалентные  заменяемым приобретенных за счет Заказчика;</w:t>
            </w:r>
          </w:p>
          <w:p w:rsidR="0024092B" w:rsidRDefault="002750EB">
            <w:r>
              <w:t>- принятие мер и выдача рекомендаций по устранению сбоев в работе системы ;</w:t>
            </w:r>
          </w:p>
          <w:p w:rsidR="0024092B" w:rsidRDefault="002750EB">
            <w:r>
              <w:t>- оказание консультативных услуг по вопросам АПС.</w:t>
            </w:r>
          </w:p>
          <w:p w:rsidR="0024092B" w:rsidRDefault="002750EB">
            <w:r>
              <w:t xml:space="preserve">- плановый контроль системы АПС </w:t>
            </w:r>
            <w:r>
              <w:rPr>
                <w:b/>
              </w:rPr>
              <w:t>осуществляется</w:t>
            </w:r>
            <w:r>
              <w:t xml:space="preserve"> ежемесячно. </w:t>
            </w:r>
          </w:p>
          <w:p w:rsidR="0024092B" w:rsidRDefault="002750EB">
            <w:r>
              <w:rPr>
                <w:b/>
              </w:rPr>
              <w:t>Оперативное исправление неисправности системы при аварийных ситуациях (срок реагирования – 1 час)</w:t>
            </w:r>
            <w:r>
              <w:t>.</w:t>
            </w:r>
          </w:p>
          <w:p w:rsidR="0024092B" w:rsidRDefault="002750EB">
            <w:r>
              <w:t xml:space="preserve"> 1. Поставщик услуг в рамках работ по техническому обслуживанию систем АПС обеспечивает  присутствие не менее одного квалифицированного специалиста ежемесячно проведения планово-профилактических работ ППР. При этом на объекте необходимо фиксировать при осмотре записи о проведенных работах в журнале по техническому обслуживанию.    </w:t>
            </w:r>
          </w:p>
          <w:p w:rsidR="0024092B" w:rsidRDefault="002750EB">
            <w:r>
              <w:t>2. Осмотр системы АПС на предмет видимых повреждений, проверка степени работоспособности программного обеспечения, проверка и корректировка настроек системы, очистка оборудования от пыли и грязи, снятие показаний силы тока, напряжения и сопротивления на блоках питания, проверка и ремонт оборудования систем оповещения.</w:t>
            </w:r>
          </w:p>
          <w:p w:rsidR="0024092B" w:rsidRDefault="002750EB">
            <w:r>
              <w:t xml:space="preserve">3. Организация круглосуточной беспроводной передачи сигнала о срабатывании автоматической пожарной сигнализации в диспетчерскую службу исполнителю. </w:t>
            </w:r>
          </w:p>
          <w:p w:rsidR="0024092B" w:rsidRDefault="002750EB">
            <w:r>
              <w:lastRenderedPageBreak/>
              <w:t xml:space="preserve">  4. Иметь в наличии необходимые материальные ресурсы и инструменты, необходимые для производства замера работоспособности системы .</w:t>
            </w:r>
          </w:p>
          <w:p w:rsidR="0024092B" w:rsidRDefault="002750EB">
            <w:r>
              <w:t>5. Поставщик должен иметь специализированные программы на установленные блоки для изменения настроек параметров системы .</w:t>
            </w:r>
          </w:p>
          <w:p w:rsidR="0024092B" w:rsidRDefault="002750EB">
            <w:r>
              <w:t xml:space="preserve"> 6. Проверка работоспособности систем АПС  проводится Исполнителем.</w:t>
            </w:r>
          </w:p>
          <w:p w:rsidR="0024092B" w:rsidRDefault="002750EB">
            <w:r>
              <w:t xml:space="preserve"> 7. Поставщик должен приложить список сотрудников с указанием сотовых и городских телефонов. </w:t>
            </w:r>
          </w:p>
          <w:p w:rsidR="0024092B" w:rsidRDefault="0024092B"/>
          <w:p w:rsidR="0024092B" w:rsidRDefault="002750EB">
            <w:r>
              <w:t>Техническое обслуживание проводится с целью обеспечения работоспособности систем АПС, сохранения эксплуатационных и технических характеристик в течение срока эксплуатации. Техническое обслуживание заключается в систематическом наблюдении за техническим состоянием, регулярном техническом осмотре, проверки работоспособности установки, устранении возникших неисправностей.</w:t>
            </w:r>
          </w:p>
          <w:p w:rsidR="0024092B" w:rsidRDefault="0024092B"/>
          <w:p w:rsidR="0024092B" w:rsidRDefault="002750EB">
            <w:r>
              <w:t>Услуги по техническому обслуживанию систем АПС на объектах Заказчика включают проведение плановых регламентных работ, предусмотренных инструкциями заводов изготовителей на все элементы, входящие в состав установок:</w:t>
            </w:r>
          </w:p>
          <w:p w:rsidR="0024092B" w:rsidRDefault="002750EB">
            <w:r>
              <w:t>техническое обслуживание производится согласно регламента по техническому обслуживанию;</w:t>
            </w:r>
          </w:p>
          <w:p w:rsidR="0024092B" w:rsidRDefault="002750EB">
            <w:r>
              <w:t>ведение технической документации;</w:t>
            </w:r>
          </w:p>
          <w:p w:rsidR="0024092B" w:rsidRDefault="002750EB">
            <w:r>
              <w:t>осуществление технического надзора за правильной эксплуатацией;</w:t>
            </w:r>
          </w:p>
          <w:p w:rsidR="0024092B" w:rsidRDefault="002750EB">
            <w:r>
              <w:t>оказание технической помощи;</w:t>
            </w:r>
          </w:p>
          <w:p w:rsidR="0024092B" w:rsidRDefault="002750EB">
            <w:r>
              <w:t>устранению внезапных отказов установок по вызову</w:t>
            </w:r>
          </w:p>
        </w:tc>
      </w:tr>
    </w:tbl>
    <w:p w:rsidR="0024092B" w:rsidRDefault="002750EB">
      <w:pPr>
        <w:rPr>
          <w:lang w:val="kk-KZ"/>
        </w:rPr>
      </w:pPr>
      <w:r>
        <w:rPr>
          <w:lang w:val="kk-KZ"/>
        </w:rPr>
        <w:lastRenderedPageBreak/>
        <w:t xml:space="preserve">                                                                                                                                                                                   </w:t>
      </w:r>
    </w:p>
    <w:p w:rsidR="0024092B" w:rsidRDefault="002750EB">
      <w:pPr>
        <w:jc w:val="both"/>
        <w:rPr>
          <w:bCs/>
        </w:rPr>
      </w:pPr>
      <w:r>
        <w:rPr>
          <w:b/>
          <w:bCs/>
          <w:sz w:val="28"/>
          <w:szCs w:val="28"/>
        </w:rPr>
        <w:t>П</w:t>
      </w:r>
      <w:r>
        <w:rPr>
          <w:b/>
          <w:bCs/>
          <w:sz w:val="28"/>
          <w:szCs w:val="28"/>
          <w:lang w:val="kk-KZ"/>
        </w:rPr>
        <w:t xml:space="preserve">римечание: </w:t>
      </w:r>
      <w:r>
        <w:rPr>
          <w:bCs/>
          <w:sz w:val="28"/>
          <w:szCs w:val="28"/>
          <w:lang w:val="kk-KZ"/>
        </w:rPr>
        <w:t>С</w:t>
      </w:r>
      <w:r>
        <w:rPr>
          <w:bCs/>
          <w:sz w:val="28"/>
          <w:szCs w:val="28"/>
        </w:rPr>
        <w:t xml:space="preserve">умма выделенная на осуществление закупки рассчитана на период </w:t>
      </w:r>
      <w:r>
        <w:rPr>
          <w:bCs/>
          <w:sz w:val="28"/>
          <w:szCs w:val="28"/>
          <w:highlight w:val="yellow"/>
        </w:rPr>
        <w:t xml:space="preserve">с </w:t>
      </w:r>
      <w:r w:rsidR="00B453CD">
        <w:rPr>
          <w:bCs/>
          <w:sz w:val="28"/>
          <w:szCs w:val="28"/>
          <w:highlight w:val="yellow"/>
          <w:lang w:val="kk-KZ"/>
        </w:rPr>
        <w:t>октября</w:t>
      </w:r>
      <w:r>
        <w:rPr>
          <w:bCs/>
          <w:sz w:val="28"/>
          <w:szCs w:val="28"/>
          <w:highlight w:val="yellow"/>
          <w:lang w:val="kk-KZ"/>
        </w:rPr>
        <w:t xml:space="preserve"> </w:t>
      </w:r>
      <w:r>
        <w:rPr>
          <w:bCs/>
          <w:sz w:val="28"/>
          <w:szCs w:val="28"/>
          <w:highlight w:val="yellow"/>
        </w:rPr>
        <w:t>202</w:t>
      </w:r>
      <w:r w:rsidR="00BF6ED4" w:rsidRPr="00BF6ED4">
        <w:rPr>
          <w:bCs/>
          <w:sz w:val="28"/>
          <w:szCs w:val="28"/>
          <w:highlight w:val="yellow"/>
        </w:rPr>
        <w:t>6</w:t>
      </w:r>
      <w:r>
        <w:rPr>
          <w:bCs/>
          <w:sz w:val="28"/>
          <w:szCs w:val="28"/>
          <w:highlight w:val="yellow"/>
        </w:rPr>
        <w:t xml:space="preserve"> года по 31 декабря 202</w:t>
      </w:r>
      <w:r w:rsidR="00BF6ED4" w:rsidRPr="00BF6ED4">
        <w:rPr>
          <w:bCs/>
          <w:sz w:val="28"/>
          <w:szCs w:val="28"/>
          <w:highlight w:val="yellow"/>
        </w:rPr>
        <w:t>6</w:t>
      </w:r>
      <w:r>
        <w:rPr>
          <w:bCs/>
          <w:sz w:val="28"/>
          <w:szCs w:val="28"/>
          <w:highlight w:val="yellow"/>
        </w:rPr>
        <w:t>года.</w:t>
      </w:r>
      <w:r>
        <w:rPr>
          <w:bCs/>
          <w:sz w:val="28"/>
          <w:szCs w:val="28"/>
        </w:rPr>
        <w:t xml:space="preserve"> </w:t>
      </w:r>
    </w:p>
    <w:p w:rsidR="0024092B" w:rsidRDefault="0024092B">
      <w:pPr>
        <w:jc w:val="right"/>
        <w:rPr>
          <w:bCs/>
        </w:rPr>
      </w:pPr>
    </w:p>
    <w:p w:rsidR="0024092B" w:rsidRDefault="0024092B">
      <w:pPr>
        <w:jc w:val="right"/>
        <w:rPr>
          <w:bCs/>
        </w:rPr>
      </w:pPr>
    </w:p>
    <w:p w:rsidR="0024092B" w:rsidRDefault="0024092B">
      <w:pPr>
        <w:jc w:val="right"/>
        <w:rPr>
          <w:bCs/>
        </w:rPr>
      </w:pPr>
    </w:p>
    <w:p w:rsidR="0024092B" w:rsidRDefault="0024092B">
      <w:pPr>
        <w:jc w:val="right"/>
        <w:rPr>
          <w:bCs/>
        </w:rPr>
      </w:pPr>
    </w:p>
    <w:p w:rsidR="0024092B" w:rsidRDefault="0024092B">
      <w:pPr>
        <w:jc w:val="right"/>
        <w:rPr>
          <w:bCs/>
        </w:rPr>
      </w:pPr>
    </w:p>
    <w:p w:rsidR="0024092B" w:rsidRDefault="0024092B">
      <w:pPr>
        <w:jc w:val="right"/>
        <w:rPr>
          <w:bCs/>
        </w:rPr>
      </w:pPr>
    </w:p>
    <w:p w:rsidR="0024092B" w:rsidRDefault="0024092B">
      <w:pPr>
        <w:jc w:val="right"/>
        <w:rPr>
          <w:bCs/>
        </w:rPr>
      </w:pPr>
    </w:p>
    <w:p w:rsidR="0024092B" w:rsidRDefault="0024092B">
      <w:pPr>
        <w:jc w:val="right"/>
        <w:rPr>
          <w:bCs/>
        </w:rPr>
      </w:pPr>
    </w:p>
    <w:p w:rsidR="0024092B" w:rsidRDefault="0024092B">
      <w:pPr>
        <w:jc w:val="right"/>
        <w:rPr>
          <w:bCs/>
        </w:rPr>
      </w:pPr>
    </w:p>
    <w:p w:rsidR="0024092B" w:rsidRDefault="0024092B">
      <w:pPr>
        <w:jc w:val="right"/>
        <w:rPr>
          <w:sz w:val="28"/>
          <w:szCs w:val="28"/>
          <w:lang w:val="kk-KZ"/>
        </w:rPr>
      </w:pPr>
    </w:p>
    <w:p w:rsidR="0024092B" w:rsidRDefault="002750EB">
      <w:pPr>
        <w:jc w:val="right"/>
        <w:rPr>
          <w:sz w:val="28"/>
          <w:szCs w:val="28"/>
          <w:lang w:val="kk-KZ"/>
        </w:rPr>
      </w:pPr>
      <w:r>
        <w:rPr>
          <w:sz w:val="28"/>
          <w:szCs w:val="28"/>
          <w:lang w:val="kk-KZ"/>
        </w:rPr>
        <w:t>Шартқа 2 қосымша</w:t>
      </w:r>
    </w:p>
    <w:p w:rsidR="0024092B" w:rsidRDefault="0024092B">
      <w:pPr>
        <w:jc w:val="both"/>
        <w:rPr>
          <w:sz w:val="28"/>
          <w:szCs w:val="28"/>
          <w:lang w:val="kk-KZ"/>
        </w:rPr>
      </w:pPr>
    </w:p>
    <w:p w:rsidR="0024092B" w:rsidRDefault="002750EB">
      <w:pPr>
        <w:ind w:firstLine="400"/>
        <w:jc w:val="center"/>
        <w:rPr>
          <w:b/>
          <w:bCs/>
          <w:sz w:val="28"/>
          <w:szCs w:val="28"/>
          <w:lang w:val="kk-KZ"/>
        </w:rPr>
      </w:pPr>
      <w:r>
        <w:rPr>
          <w:b/>
          <w:bCs/>
          <w:sz w:val="28"/>
          <w:szCs w:val="28"/>
          <w:lang w:val="kk-KZ"/>
        </w:rPr>
        <w:t>Сатып алынатын қызметтердің техникалық ерекшеліктері</w:t>
      </w:r>
    </w:p>
    <w:p w:rsidR="0024092B" w:rsidRDefault="0024092B">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1"/>
        <w:gridCol w:w="2410"/>
        <w:gridCol w:w="11597"/>
      </w:tblGrid>
      <w:tr w:rsidR="0024092B">
        <w:trPr>
          <w:trHeight w:val="867"/>
        </w:trPr>
        <w:tc>
          <w:tcPr>
            <w:tcW w:w="851" w:type="dxa"/>
            <w:vAlign w:val="center"/>
          </w:tcPr>
          <w:p w:rsidR="0024092B" w:rsidRDefault="002750EB">
            <w:pPr>
              <w:jc w:val="center"/>
              <w:rPr>
                <w:b/>
                <w:bCs/>
                <w:sz w:val="28"/>
                <w:szCs w:val="28"/>
                <w:lang w:val="kk-KZ"/>
              </w:rPr>
            </w:pPr>
            <w:r>
              <w:rPr>
                <w:b/>
                <w:bCs/>
                <w:sz w:val="28"/>
                <w:szCs w:val="28"/>
                <w:lang w:val="kk-KZ"/>
              </w:rPr>
              <w:t>№ р/с</w:t>
            </w:r>
          </w:p>
        </w:tc>
        <w:tc>
          <w:tcPr>
            <w:tcW w:w="2410" w:type="dxa"/>
            <w:vAlign w:val="center"/>
          </w:tcPr>
          <w:p w:rsidR="0024092B" w:rsidRDefault="002750EB">
            <w:pPr>
              <w:jc w:val="center"/>
              <w:rPr>
                <w:b/>
                <w:bCs/>
                <w:sz w:val="28"/>
                <w:szCs w:val="28"/>
                <w:lang w:val="kk-KZ"/>
              </w:rPr>
            </w:pPr>
            <w:r>
              <w:rPr>
                <w:b/>
                <w:bCs/>
                <w:sz w:val="28"/>
                <w:szCs w:val="28"/>
                <w:lang w:val="kk-KZ"/>
              </w:rPr>
              <w:t>Қызметтердің атауы</w:t>
            </w:r>
          </w:p>
        </w:tc>
        <w:tc>
          <w:tcPr>
            <w:tcW w:w="11597" w:type="dxa"/>
            <w:vAlign w:val="center"/>
          </w:tcPr>
          <w:p w:rsidR="0024092B" w:rsidRDefault="002750EB">
            <w:pPr>
              <w:jc w:val="center"/>
              <w:rPr>
                <w:b/>
                <w:bCs/>
                <w:sz w:val="28"/>
                <w:szCs w:val="28"/>
                <w:lang w:val="kk-KZ"/>
              </w:rPr>
            </w:pPr>
            <w:r>
              <w:rPr>
                <w:b/>
                <w:bCs/>
                <w:sz w:val="28"/>
                <w:szCs w:val="28"/>
                <w:lang w:val="kk-KZ"/>
              </w:rPr>
              <w:t>Қызметтердің техникалық ерекшеліктері, сипаттамасы</w:t>
            </w:r>
          </w:p>
        </w:tc>
      </w:tr>
      <w:tr w:rsidR="0024092B">
        <w:tc>
          <w:tcPr>
            <w:tcW w:w="851" w:type="dxa"/>
          </w:tcPr>
          <w:p w:rsidR="0024092B" w:rsidRDefault="002750EB">
            <w:pPr>
              <w:jc w:val="center"/>
              <w:rPr>
                <w:sz w:val="28"/>
                <w:szCs w:val="28"/>
                <w:lang w:val="kk-KZ"/>
              </w:rPr>
            </w:pPr>
            <w:r>
              <w:rPr>
                <w:sz w:val="28"/>
                <w:szCs w:val="28"/>
                <w:lang w:val="kk-KZ"/>
              </w:rPr>
              <w:t>1</w:t>
            </w:r>
          </w:p>
        </w:tc>
        <w:tc>
          <w:tcPr>
            <w:tcW w:w="2410" w:type="dxa"/>
          </w:tcPr>
          <w:p w:rsidR="0024092B" w:rsidRDefault="002750EB">
            <w:pPr>
              <w:jc w:val="center"/>
              <w:rPr>
                <w:sz w:val="28"/>
                <w:szCs w:val="28"/>
                <w:lang w:val="kk-KZ"/>
              </w:rPr>
            </w:pPr>
            <w:r>
              <w:rPr>
                <w:sz w:val="28"/>
                <w:szCs w:val="28"/>
                <w:lang w:val="kk-KZ"/>
              </w:rPr>
              <w:t>2</w:t>
            </w:r>
          </w:p>
        </w:tc>
        <w:tc>
          <w:tcPr>
            <w:tcW w:w="11597" w:type="dxa"/>
          </w:tcPr>
          <w:p w:rsidR="0024092B" w:rsidRDefault="002750EB">
            <w:pPr>
              <w:jc w:val="center"/>
              <w:rPr>
                <w:sz w:val="28"/>
                <w:szCs w:val="28"/>
                <w:lang w:val="kk-KZ"/>
              </w:rPr>
            </w:pPr>
            <w:r>
              <w:rPr>
                <w:sz w:val="28"/>
                <w:szCs w:val="28"/>
                <w:lang w:val="kk-KZ"/>
              </w:rPr>
              <w:t>3</w:t>
            </w:r>
          </w:p>
        </w:tc>
      </w:tr>
      <w:tr w:rsidR="0024092B">
        <w:tc>
          <w:tcPr>
            <w:tcW w:w="851" w:type="dxa"/>
          </w:tcPr>
          <w:p w:rsidR="0024092B" w:rsidRDefault="002750EB">
            <w:r>
              <w:t>1</w:t>
            </w:r>
          </w:p>
        </w:tc>
        <w:tc>
          <w:tcPr>
            <w:tcW w:w="2410" w:type="dxa"/>
          </w:tcPr>
          <w:p w:rsidR="0024092B" w:rsidRDefault="002750EB">
            <w:r>
              <w:t>Автоматты өрт дабылы жүйелеріне техникалық қызмет көрсету</w:t>
            </w:r>
          </w:p>
          <w:p w:rsidR="0024092B" w:rsidRDefault="0024092B"/>
        </w:tc>
        <w:tc>
          <w:tcPr>
            <w:tcW w:w="11597" w:type="dxa"/>
          </w:tcPr>
          <w:p w:rsidR="0024092B" w:rsidRDefault="002750EB">
            <w:r>
              <w:t>Ғимараттардың өрт дабылы.</w:t>
            </w:r>
          </w:p>
          <w:p w:rsidR="0024092B" w:rsidRDefault="002750EB">
            <w:r>
              <w:t>Автоматты өрт дабылы – өртті дер кезінде анықтауға қызмет ететін техникалық құралдар кешені. Әдетте, өрт дабылы ғимараттың қауіпсіздік жүйелері мен инженерлік жүйелерін біріктіретін кешенге біріктірілген, ескерту жүйелеріне, өрт сөндіруге, түтінді жоюға, кіруді басқаруға және т.б. үшін сенімді мекенжай ақпаратын қамтамасыз етеді.</w:t>
            </w:r>
          </w:p>
          <w:p w:rsidR="0024092B" w:rsidRDefault="002750EB">
            <w:r>
              <w:t>АӨД техникалық қызмет көрсету:</w:t>
            </w:r>
          </w:p>
          <w:p w:rsidR="0024092B" w:rsidRDefault="002750EB">
            <w:r>
              <w:t>- қажет болған жағдайда ақауларды жою;</w:t>
            </w:r>
          </w:p>
          <w:p w:rsidR="0024092B" w:rsidRDefault="002750EB">
            <w:r>
              <w:t>- жұмыс істемейтін - датчиктер мен құрылғыларды, Тапсырыс берушінің есебінен сатып алынған ауыстырылатындарға функционалды баламалы жүйелерді ауыстыру;</w:t>
            </w:r>
          </w:p>
          <w:p w:rsidR="0024092B" w:rsidRDefault="002750EB">
            <w:r>
              <w:t>- жүйе ақауларын жою бойынша шаралар қабылдау және ұсыныстар беру;</w:t>
            </w:r>
          </w:p>
          <w:p w:rsidR="0024092B" w:rsidRDefault="002750EB">
            <w:r>
              <w:t>- АӨД мәселелері бойынша консультативтік қызмет көрсету.</w:t>
            </w:r>
          </w:p>
          <w:p w:rsidR="0024092B" w:rsidRDefault="002750EB">
            <w:r>
              <w:t>- АӨД жүйесін жоспарлы бақылау ай сайын жүргізіледі.</w:t>
            </w:r>
          </w:p>
          <w:p w:rsidR="0024092B" w:rsidRDefault="002750EB">
            <w:r>
              <w:t>Апат болған жағдайда әрекет ету уақыты 24 сағатты құрайды.</w:t>
            </w:r>
          </w:p>
          <w:p w:rsidR="0024092B" w:rsidRDefault="002750EB">
            <w:r>
              <w:t>Көрсетілетін қызметті беруші АПЖ жүйелеріне техникалық қызмет көрсету шеңберінде ай сайын жоспарлы профилактикалық жұмыстарды жүргізу үшін кемінде бір білікті маманның болуын қамтамасыз етеді. Бұл жағдайда объектіде тексеру кезінде техникалық қызмет көрсету журналында орындалған жұмыстардың жазбаларын жазу қажет.</w:t>
            </w:r>
          </w:p>
          <w:p w:rsidR="0024092B" w:rsidRDefault="002750EB">
            <w:r>
              <w:t>2. АӨД жүйесінің көрінетін зақымдалуын тексеру, бағдарламалық қамтамасыз етудің жұмыс істеу дәрежесін тексеру, жүйенің баптауларын тексеру және реттеу, жабдықты шаң мен кірден тазарту, ток, кернеу және қоректену көздеріне қарсылық көрсеткіштерін алу, ескерту жүйесінің жабдықтарын тексеру және жөндеу. .</w:t>
            </w:r>
          </w:p>
          <w:p w:rsidR="0024092B" w:rsidRDefault="002750EB">
            <w:r>
              <w:t>3. Мердігерге диспетчерлік қызметке автоматты өрт дабылын қосу туралы сигналды тәулік бойы сымсыз беруді ұйымдастыру.</w:t>
            </w:r>
          </w:p>
          <w:p w:rsidR="0024092B" w:rsidRDefault="002750EB">
            <w:r>
              <w:t>4. Қоймада жүйенің өнімділігін өлшеуге қажетті қажетті материалдық ресурстар мен құралдар болуы.</w:t>
            </w:r>
          </w:p>
          <w:p w:rsidR="0024092B" w:rsidRDefault="002750EB">
            <w:r>
              <w:t>5. Жеткізушіде жүйе параметрлерінің параметрлерін өзгерту үшін орнатылған блоктар үшін мамандандырылған бағдарламалар болуы керек.</w:t>
            </w:r>
          </w:p>
          <w:p w:rsidR="0024092B" w:rsidRDefault="002750EB">
            <w:r>
              <w:t xml:space="preserve"> 6. АӨД жүйелерінің жұмысқа қабілеттілігін тексеруді Мердігер жүзеге асырады.</w:t>
            </w:r>
          </w:p>
          <w:p w:rsidR="0024092B" w:rsidRDefault="002750EB">
            <w:r>
              <w:t xml:space="preserve"> 7. Өнім беруші ұялы және қалалық телефон нөмірлері көрсетілген қызметкерлердің тізімін қоса беруі керек.</w:t>
            </w:r>
          </w:p>
          <w:p w:rsidR="0024092B" w:rsidRDefault="002750EB">
            <w:r>
              <w:t>Техникалық қызмет көрсету АӨД жүйелерінің жұмыс қабілеттілігін қамтамасыз ету, пайдалану мерзімі ішінде пайдалану және техникалық сипаттамаларын сақтау мақсатында жүзеге асырылады. Техникалық қызмет көрсету техникалық жағдайды жүйелі бақылаудан, тұрақты техникалық тексеруден, қондырғының жұмысын тексеруден және кез келген ақауларды жоюдан тұрады.</w:t>
            </w:r>
          </w:p>
          <w:p w:rsidR="0024092B" w:rsidRDefault="0024092B"/>
          <w:p w:rsidR="0024092B" w:rsidRDefault="002750EB">
            <w:r>
              <w:t>Тапсырыс берушінің объектілерінде АӨД жүйелеріне техникалық қызмет көрсету қызметтері қондырғыларды құрайтын барлық элементтер үшін өндірушілердің нұсқауларында көзделген жоспарлы жөндеу жұмыстарын жүргізуді қамтиды:</w:t>
            </w:r>
          </w:p>
          <w:p w:rsidR="0024092B" w:rsidRDefault="002750EB">
            <w:r>
              <w:t>• техникалық қызмет көрсету техникалық қызмет көрсету ережелеріне сәйкес жүзеге асырылады;</w:t>
            </w:r>
          </w:p>
          <w:p w:rsidR="0024092B" w:rsidRDefault="002750EB">
            <w:r>
              <w:t>• техникалық құжаттаманы жүргізу;</w:t>
            </w:r>
          </w:p>
          <w:p w:rsidR="0024092B" w:rsidRDefault="002750EB">
            <w:r>
              <w:t>• дұрыс жұмыс істеуіне техникалық қадағалауды жүзеге асыру;</w:t>
            </w:r>
          </w:p>
          <w:p w:rsidR="0024092B" w:rsidRDefault="002750EB">
            <w:r>
              <w:t>• техникалық көмек көрсету;</w:t>
            </w:r>
          </w:p>
          <w:p w:rsidR="0024092B" w:rsidRDefault="002750EB">
            <w:r>
              <w:t>• шақыру бойынша қондырғылардың кенет ақауларын жою</w:t>
            </w:r>
          </w:p>
          <w:p w:rsidR="0024092B" w:rsidRDefault="0024092B"/>
          <w:p w:rsidR="0024092B" w:rsidRDefault="0024092B"/>
          <w:p w:rsidR="0024092B" w:rsidRDefault="0024092B"/>
          <w:p w:rsidR="0024092B" w:rsidRDefault="0024092B"/>
        </w:tc>
      </w:tr>
    </w:tbl>
    <w:p w:rsidR="0024092B" w:rsidRDefault="002750EB">
      <w:r>
        <w:t xml:space="preserve">Ескертпе: Сатып алуға бөлінген </w:t>
      </w:r>
      <w:r>
        <w:rPr>
          <w:highlight w:val="yellow"/>
        </w:rPr>
        <w:t>сома 202</w:t>
      </w:r>
      <w:r w:rsidR="00BF6ED4" w:rsidRPr="00BF6ED4">
        <w:rPr>
          <w:highlight w:val="yellow"/>
        </w:rPr>
        <w:t>6</w:t>
      </w:r>
      <w:r>
        <w:rPr>
          <w:highlight w:val="yellow"/>
        </w:rPr>
        <w:t xml:space="preserve"> жылғы </w:t>
      </w:r>
      <w:r w:rsidR="00B453CD">
        <w:rPr>
          <w:highlight w:val="yellow"/>
          <w:lang w:val="kk-KZ"/>
        </w:rPr>
        <w:t>қазаннан</w:t>
      </w:r>
      <w:bookmarkStart w:id="0" w:name="_GoBack"/>
      <w:bookmarkEnd w:id="0"/>
      <w:r>
        <w:rPr>
          <w:highlight w:val="yellow"/>
          <w:lang w:val="kk-KZ"/>
        </w:rPr>
        <w:t xml:space="preserve">  </w:t>
      </w:r>
      <w:r>
        <w:rPr>
          <w:highlight w:val="yellow"/>
        </w:rPr>
        <w:t>бастап 202</w:t>
      </w:r>
      <w:r w:rsidR="00BF6ED4" w:rsidRPr="00BF6ED4">
        <w:rPr>
          <w:highlight w:val="yellow"/>
        </w:rPr>
        <w:t>6</w:t>
      </w:r>
      <w:r>
        <w:rPr>
          <w:highlight w:val="yellow"/>
        </w:rPr>
        <w:t xml:space="preserve"> жылғы 31 желтоқсанға</w:t>
      </w:r>
      <w:r>
        <w:t xml:space="preserve"> дейінгі кезеңге есептелген. </w:t>
      </w:r>
    </w:p>
    <w:p w:rsidR="0024092B" w:rsidRDefault="0024092B">
      <w:pPr>
        <w:jc w:val="both"/>
        <w:rPr>
          <w:sz w:val="28"/>
          <w:szCs w:val="28"/>
        </w:rPr>
      </w:pPr>
    </w:p>
    <w:sectPr w:rsidR="0024092B">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3C1" w:rsidRDefault="00A353C1">
      <w:r>
        <w:separator/>
      </w:r>
    </w:p>
  </w:endnote>
  <w:endnote w:type="continuationSeparator" w:id="0">
    <w:p w:rsidR="00A353C1" w:rsidRDefault="00A35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3C1" w:rsidRDefault="00A353C1">
      <w:r>
        <w:separator/>
      </w:r>
    </w:p>
  </w:footnote>
  <w:footnote w:type="continuationSeparator" w:id="0">
    <w:p w:rsidR="00A353C1" w:rsidRDefault="00A353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D2D"/>
    <w:rsid w:val="000D1331"/>
    <w:rsid w:val="000F0212"/>
    <w:rsid w:val="00146BEA"/>
    <w:rsid w:val="001F7A54"/>
    <w:rsid w:val="0021253E"/>
    <w:rsid w:val="002203CC"/>
    <w:rsid w:val="002261CB"/>
    <w:rsid w:val="0024092B"/>
    <w:rsid w:val="002630CA"/>
    <w:rsid w:val="002653A1"/>
    <w:rsid w:val="002707AA"/>
    <w:rsid w:val="002750EB"/>
    <w:rsid w:val="002930F8"/>
    <w:rsid w:val="002B74DD"/>
    <w:rsid w:val="002D0C90"/>
    <w:rsid w:val="002E7B1E"/>
    <w:rsid w:val="0036230A"/>
    <w:rsid w:val="003A2704"/>
    <w:rsid w:val="003B2F71"/>
    <w:rsid w:val="003C39E5"/>
    <w:rsid w:val="003D07CB"/>
    <w:rsid w:val="003D4B6D"/>
    <w:rsid w:val="00483A7F"/>
    <w:rsid w:val="00484721"/>
    <w:rsid w:val="004D0665"/>
    <w:rsid w:val="004D4947"/>
    <w:rsid w:val="004E4A66"/>
    <w:rsid w:val="00511116"/>
    <w:rsid w:val="00557706"/>
    <w:rsid w:val="0056408A"/>
    <w:rsid w:val="00586BAB"/>
    <w:rsid w:val="00594D52"/>
    <w:rsid w:val="00600687"/>
    <w:rsid w:val="00630ACB"/>
    <w:rsid w:val="006716AB"/>
    <w:rsid w:val="00696293"/>
    <w:rsid w:val="006E2E16"/>
    <w:rsid w:val="006F1752"/>
    <w:rsid w:val="0074639D"/>
    <w:rsid w:val="00767B04"/>
    <w:rsid w:val="007A3C53"/>
    <w:rsid w:val="007E706D"/>
    <w:rsid w:val="00813A6D"/>
    <w:rsid w:val="00813ECF"/>
    <w:rsid w:val="008A720C"/>
    <w:rsid w:val="008E2109"/>
    <w:rsid w:val="008E6844"/>
    <w:rsid w:val="00905EC1"/>
    <w:rsid w:val="00996195"/>
    <w:rsid w:val="009A7B17"/>
    <w:rsid w:val="00A353C1"/>
    <w:rsid w:val="00A36044"/>
    <w:rsid w:val="00A4176C"/>
    <w:rsid w:val="00A56A03"/>
    <w:rsid w:val="00A7005C"/>
    <w:rsid w:val="00A9196D"/>
    <w:rsid w:val="00A936FB"/>
    <w:rsid w:val="00AC5A77"/>
    <w:rsid w:val="00AC6767"/>
    <w:rsid w:val="00AE65DE"/>
    <w:rsid w:val="00B04F81"/>
    <w:rsid w:val="00B10945"/>
    <w:rsid w:val="00B20A34"/>
    <w:rsid w:val="00B453CD"/>
    <w:rsid w:val="00B53642"/>
    <w:rsid w:val="00B628F4"/>
    <w:rsid w:val="00BA25C4"/>
    <w:rsid w:val="00BE7D2D"/>
    <w:rsid w:val="00BF6ED4"/>
    <w:rsid w:val="00C7476F"/>
    <w:rsid w:val="00C92D03"/>
    <w:rsid w:val="00CE09B9"/>
    <w:rsid w:val="00CF000E"/>
    <w:rsid w:val="00D2563D"/>
    <w:rsid w:val="00D322A1"/>
    <w:rsid w:val="00D815B8"/>
    <w:rsid w:val="00D92125"/>
    <w:rsid w:val="00E26E2A"/>
    <w:rsid w:val="00E87B02"/>
    <w:rsid w:val="00EF19A2"/>
    <w:rsid w:val="00F254D0"/>
    <w:rsid w:val="00F45749"/>
    <w:rsid w:val="00FB0B1A"/>
    <w:rsid w:val="5F1521A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5A96"/>
  <w15:docId w15:val="{2271F504-2DE0-46BE-A6E4-F69C5DC1A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uiPriority w:val="9"/>
    <w:qFormat/>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pPr>
      <w:spacing w:before="240" w:after="60"/>
      <w:outlineLvl w:val="6"/>
    </w:pPr>
    <w:rPr>
      <w:rFonts w:cstheme="majorBidi"/>
    </w:rPr>
  </w:style>
  <w:style w:type="paragraph" w:styleId="8">
    <w:name w:val="heading 8"/>
    <w:basedOn w:val="a"/>
    <w:next w:val="a"/>
    <w:link w:val="80"/>
    <w:uiPriority w:val="9"/>
    <w:semiHidden/>
    <w:unhideWhenUsed/>
    <w:qFormat/>
    <w:pPr>
      <w:spacing w:before="240" w:after="60"/>
      <w:outlineLvl w:val="7"/>
    </w:pPr>
    <w:rPr>
      <w:rFonts w:cstheme="majorBidi"/>
      <w:i/>
      <w:iCs/>
    </w:rPr>
  </w:style>
  <w:style w:type="paragraph" w:styleId="9">
    <w:name w:val="heading 9"/>
    <w:basedOn w:val="a"/>
    <w:next w:val="a"/>
    <w:link w:val="90"/>
    <w:uiPriority w:val="9"/>
    <w:semiHidden/>
    <w:unhideWhenUsed/>
    <w:qFormat/>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rFonts w:asciiTheme="minorHAnsi" w:hAnsiTheme="minorHAnsi"/>
      <w:b/>
      <w:i/>
      <w:iCs/>
    </w:rPr>
  </w:style>
  <w:style w:type="character" w:styleId="a4">
    <w:name w:val="Strong"/>
    <w:basedOn w:val="a0"/>
    <w:qFormat/>
    <w:rPr>
      <w:b/>
      <w:bCs/>
    </w:rPr>
  </w:style>
  <w:style w:type="paragraph" w:styleId="a5">
    <w:name w:val="header"/>
    <w:basedOn w:val="a"/>
    <w:link w:val="a6"/>
    <w:uiPriority w:val="99"/>
    <w:unhideWhenUsed/>
    <w:pPr>
      <w:tabs>
        <w:tab w:val="center" w:pos="4677"/>
        <w:tab w:val="right" w:pos="9355"/>
      </w:tabs>
    </w:pPr>
    <w:rPr>
      <w:rFonts w:asciiTheme="minorHAnsi" w:eastAsiaTheme="minorHAnsi" w:hAnsiTheme="minorHAnsi" w:cstheme="minorBidi"/>
      <w:sz w:val="22"/>
      <w:szCs w:val="22"/>
      <w:lang w:eastAsia="en-US"/>
    </w:rPr>
  </w:style>
  <w:style w:type="paragraph" w:styleId="a7">
    <w:name w:val="Title"/>
    <w:basedOn w:val="a"/>
    <w:next w:val="a"/>
    <w:link w:val="a8"/>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9">
    <w:name w:val="Normal (Web)"/>
    <w:basedOn w:val="a"/>
    <w:link w:val="aa"/>
    <w:uiPriority w:val="99"/>
    <w:qFormat/>
    <w:pPr>
      <w:spacing w:before="100" w:beforeAutospacing="1" w:after="100" w:afterAutospacing="1"/>
    </w:pPr>
  </w:style>
  <w:style w:type="paragraph" w:styleId="ab">
    <w:name w:val="Subtitle"/>
    <w:basedOn w:val="a"/>
    <w:next w:val="a"/>
    <w:link w:val="ac"/>
    <w:uiPriority w:val="11"/>
    <w:qFormat/>
    <w:pPr>
      <w:spacing w:after="60"/>
      <w:jc w:val="center"/>
      <w:outlineLvl w:val="1"/>
    </w:pPr>
    <w:rPr>
      <w:rFonts w:asciiTheme="majorHAnsi" w:eastAsiaTheme="majorEastAsia" w:hAnsiTheme="majorHAnsi"/>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d">
    <w:name w:val="Table Grid"/>
    <w:basedOn w:val="a1"/>
    <w:uiPriority w:val="59"/>
    <w:qFormat/>
    <w:rPr>
      <w:rFonts w:eastAsiaTheme="minorEastAsia"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qFormat/>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qFormat/>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Pr>
      <w:rFonts w:cstheme="majorBidi"/>
      <w:b/>
      <w:bCs/>
      <w:sz w:val="28"/>
      <w:szCs w:val="28"/>
    </w:rPr>
  </w:style>
  <w:style w:type="character" w:customStyle="1" w:styleId="50">
    <w:name w:val="Заголовок 5 Знак"/>
    <w:basedOn w:val="a0"/>
    <w:link w:val="5"/>
    <w:uiPriority w:val="9"/>
    <w:semiHidden/>
    <w:qFormat/>
    <w:rPr>
      <w:rFonts w:cstheme="majorBidi"/>
      <w:b/>
      <w:bCs/>
      <w:i/>
      <w:iCs/>
      <w:sz w:val="26"/>
      <w:szCs w:val="26"/>
    </w:rPr>
  </w:style>
  <w:style w:type="character" w:customStyle="1" w:styleId="60">
    <w:name w:val="Заголовок 6 Знак"/>
    <w:basedOn w:val="a0"/>
    <w:link w:val="6"/>
    <w:uiPriority w:val="9"/>
    <w:semiHidden/>
    <w:rPr>
      <w:rFonts w:cstheme="majorBidi"/>
      <w:b/>
      <w:bCs/>
    </w:rPr>
  </w:style>
  <w:style w:type="character" w:customStyle="1" w:styleId="70">
    <w:name w:val="Заголовок 7 Знак"/>
    <w:basedOn w:val="a0"/>
    <w:link w:val="7"/>
    <w:uiPriority w:val="9"/>
    <w:semiHidden/>
    <w:qFormat/>
    <w:rPr>
      <w:rFonts w:cstheme="majorBidi"/>
      <w:sz w:val="24"/>
      <w:szCs w:val="24"/>
    </w:rPr>
  </w:style>
  <w:style w:type="character" w:customStyle="1" w:styleId="80">
    <w:name w:val="Заголовок 8 Знак"/>
    <w:basedOn w:val="a0"/>
    <w:link w:val="8"/>
    <w:uiPriority w:val="9"/>
    <w:semiHidden/>
    <w:qFormat/>
    <w:rPr>
      <w:rFonts w:cstheme="majorBidi"/>
      <w:i/>
      <w:iCs/>
      <w:sz w:val="24"/>
      <w:szCs w:val="24"/>
    </w:rPr>
  </w:style>
  <w:style w:type="character" w:customStyle="1" w:styleId="90">
    <w:name w:val="Заголовок 9 Знак"/>
    <w:basedOn w:val="a0"/>
    <w:link w:val="9"/>
    <w:uiPriority w:val="9"/>
    <w:semiHidden/>
    <w:qFormat/>
    <w:rPr>
      <w:rFonts w:asciiTheme="majorHAnsi" w:eastAsiaTheme="majorEastAsia" w:hAnsiTheme="majorHAnsi" w:cstheme="majorBidi"/>
    </w:rPr>
  </w:style>
  <w:style w:type="character" w:customStyle="1" w:styleId="a8">
    <w:name w:val="Заголовок Знак"/>
    <w:basedOn w:val="a0"/>
    <w:link w:val="a7"/>
    <w:uiPriority w:val="10"/>
    <w:qFormat/>
    <w:rPr>
      <w:rFonts w:asciiTheme="majorHAnsi" w:eastAsiaTheme="majorEastAsia" w:hAnsiTheme="majorHAnsi" w:cstheme="majorBidi"/>
      <w:b/>
      <w:bCs/>
      <w:kern w:val="28"/>
      <w:sz w:val="32"/>
      <w:szCs w:val="32"/>
    </w:rPr>
  </w:style>
  <w:style w:type="character" w:customStyle="1" w:styleId="ac">
    <w:name w:val="Подзаголовок Знак"/>
    <w:basedOn w:val="a0"/>
    <w:link w:val="ab"/>
    <w:uiPriority w:val="11"/>
    <w:qFormat/>
    <w:rPr>
      <w:rFonts w:asciiTheme="majorHAnsi" w:eastAsiaTheme="majorEastAsia" w:hAnsiTheme="majorHAnsi"/>
      <w:sz w:val="24"/>
      <w:szCs w:val="24"/>
    </w:rPr>
  </w:style>
  <w:style w:type="paragraph" w:styleId="ae">
    <w:name w:val="No Spacing"/>
    <w:basedOn w:val="a"/>
    <w:uiPriority w:val="1"/>
    <w:qFormat/>
    <w:rPr>
      <w:szCs w:val="32"/>
    </w:rPr>
  </w:style>
  <w:style w:type="paragraph" w:styleId="af">
    <w:name w:val="List Paragraph"/>
    <w:basedOn w:val="a"/>
    <w:uiPriority w:val="34"/>
    <w:qFormat/>
    <w:pPr>
      <w:ind w:left="720"/>
      <w:contextualSpacing/>
    </w:pPr>
  </w:style>
  <w:style w:type="paragraph" w:styleId="21">
    <w:name w:val="Quote"/>
    <w:basedOn w:val="a"/>
    <w:next w:val="a"/>
    <w:link w:val="22"/>
    <w:uiPriority w:val="29"/>
    <w:qFormat/>
    <w:rPr>
      <w:i/>
    </w:rPr>
  </w:style>
  <w:style w:type="character" w:customStyle="1" w:styleId="22">
    <w:name w:val="Цитата 2 Знак"/>
    <w:basedOn w:val="a0"/>
    <w:link w:val="21"/>
    <w:uiPriority w:val="29"/>
    <w:qFormat/>
    <w:rPr>
      <w:i/>
      <w:sz w:val="24"/>
      <w:szCs w:val="24"/>
    </w:rPr>
  </w:style>
  <w:style w:type="paragraph" w:styleId="af0">
    <w:name w:val="Intense Quote"/>
    <w:basedOn w:val="a"/>
    <w:next w:val="a"/>
    <w:link w:val="af1"/>
    <w:uiPriority w:val="30"/>
    <w:qFormat/>
    <w:pPr>
      <w:ind w:left="720" w:right="720"/>
    </w:pPr>
    <w:rPr>
      <w:rFonts w:cstheme="majorBidi"/>
      <w:b/>
      <w:i/>
      <w:szCs w:val="22"/>
    </w:rPr>
  </w:style>
  <w:style w:type="character" w:customStyle="1" w:styleId="af1">
    <w:name w:val="Выделенная цитата Знак"/>
    <w:basedOn w:val="a0"/>
    <w:link w:val="af0"/>
    <w:uiPriority w:val="30"/>
    <w:qFormat/>
    <w:rPr>
      <w:rFonts w:cstheme="majorBidi"/>
      <w:b/>
      <w:i/>
      <w:sz w:val="24"/>
    </w:rPr>
  </w:style>
  <w:style w:type="character" w:customStyle="1" w:styleId="11">
    <w:name w:val="Слабое выделение1"/>
    <w:uiPriority w:val="19"/>
    <w:qFormat/>
    <w:rPr>
      <w:i/>
      <w:color w:val="595959" w:themeColor="text1" w:themeTint="A6"/>
    </w:rPr>
  </w:style>
  <w:style w:type="character" w:customStyle="1" w:styleId="12">
    <w:name w:val="Сильное выделение1"/>
    <w:basedOn w:val="a0"/>
    <w:uiPriority w:val="21"/>
    <w:qFormat/>
    <w:rPr>
      <w:b/>
      <w:i/>
      <w:sz w:val="24"/>
      <w:szCs w:val="24"/>
      <w:u w:val="single"/>
    </w:rPr>
  </w:style>
  <w:style w:type="character" w:customStyle="1" w:styleId="13">
    <w:name w:val="Слабая ссылка1"/>
    <w:basedOn w:val="a0"/>
    <w:uiPriority w:val="31"/>
    <w:qFormat/>
    <w:rPr>
      <w:sz w:val="24"/>
      <w:szCs w:val="24"/>
      <w:u w:val="single"/>
    </w:rPr>
  </w:style>
  <w:style w:type="character" w:customStyle="1" w:styleId="14">
    <w:name w:val="Сильная ссылка1"/>
    <w:basedOn w:val="a0"/>
    <w:uiPriority w:val="32"/>
    <w:qFormat/>
    <w:rPr>
      <w:b/>
      <w:sz w:val="24"/>
      <w:u w:val="single"/>
    </w:rPr>
  </w:style>
  <w:style w:type="character" w:customStyle="1" w:styleId="15">
    <w:name w:val="Название книги1"/>
    <w:basedOn w:val="a0"/>
    <w:uiPriority w:val="33"/>
    <w:qFormat/>
    <w:rPr>
      <w:rFonts w:asciiTheme="majorHAnsi" w:eastAsiaTheme="majorEastAsia" w:hAnsiTheme="majorHAnsi"/>
      <w:b/>
      <w:i/>
      <w:sz w:val="24"/>
      <w:szCs w:val="24"/>
    </w:rPr>
  </w:style>
  <w:style w:type="paragraph" w:customStyle="1" w:styleId="16">
    <w:name w:val="Заголовок оглавления1"/>
    <w:basedOn w:val="1"/>
    <w:next w:val="a"/>
    <w:uiPriority w:val="39"/>
    <w:semiHidden/>
    <w:unhideWhenUsed/>
    <w:qFormat/>
    <w:pPr>
      <w:outlineLvl w:val="9"/>
    </w:pPr>
  </w:style>
  <w:style w:type="character" w:customStyle="1" w:styleId="aa">
    <w:name w:val="Обычный (веб) Знак"/>
    <w:link w:val="a9"/>
    <w:uiPriority w:val="99"/>
    <w:qFormat/>
    <w:rPr>
      <w:rFonts w:ascii="Times New Roman" w:eastAsia="Times New Roman" w:hAnsi="Times New Roman"/>
      <w:sz w:val="24"/>
      <w:szCs w:val="24"/>
      <w:lang w:bidi="ar-SA"/>
    </w:rPr>
  </w:style>
  <w:style w:type="character" w:customStyle="1" w:styleId="a6">
    <w:name w:val="Верхний колонтитул Знак"/>
    <w:basedOn w:val="a0"/>
    <w:link w:val="a5"/>
    <w:uiPriority w:val="99"/>
    <w:rPr>
      <w:rFonts w:cstheme="minorBidi"/>
      <w:lang w:val="ru-RU" w:bidi="ar-SA"/>
    </w:r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lang w:bidi="ar-SA"/>
    </w:rPr>
  </w:style>
  <w:style w:type="character" w:customStyle="1" w:styleId="y2iqfc">
    <w:name w:val="y2iqfc"/>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5A04B-D1AA-4799-99A0-0E3630C65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995</Words>
  <Characters>5674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Uzer</cp:lastModifiedBy>
  <cp:revision>2</cp:revision>
  <cp:lastPrinted>2017-01-31T05:48:00Z</cp:lastPrinted>
  <dcterms:created xsi:type="dcterms:W3CDTF">2026-10-14T17:06:00Z</dcterms:created>
  <dcterms:modified xsi:type="dcterms:W3CDTF">2026-10-14T17:06:00Z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D384CF7DC14A4C40899EF0535EFCA84B_13</vt:lpwstr>
  </property>
</Properties>
</file>