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01" w:rsidRDefault="00287901"/>
    <w:p w:rsidR="00BC09A5" w:rsidRDefault="00BC09A5"/>
    <w:p w:rsidR="00BC09A5" w:rsidRDefault="00BC09A5" w:rsidP="00BC09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Надпись должна  соответствовать справке о государственной перерегистрации юридического лица на 2-х языках. Размер  60х80.     Все расходы включены в сумму.  Должен соответствовать  стандартам</w:t>
      </w:r>
    </w:p>
    <w:p w:rsidR="00BC09A5" w:rsidRPr="00981614" w:rsidRDefault="00BC09A5" w:rsidP="00BC09A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81614">
        <w:rPr>
          <w:rFonts w:ascii="Arial" w:eastAsia="Times New Roman" w:hAnsi="Arial" w:cs="Arial"/>
          <w:sz w:val="24"/>
          <w:szCs w:val="24"/>
          <w:lang w:eastAsia="ru-RU"/>
        </w:rPr>
        <w:t>Материалы для изготовления наружной вывески организации в Республике Казахстан (РК) подбираются с учетом климатических особенностей (сильные перепады температур от минуса до плюса, ветер и солнце) и требований местных дизайн-кодов городов</w:t>
      </w:r>
    </w:p>
    <w:p w:rsidR="00BC09A5" w:rsidRPr="00981614" w:rsidRDefault="00BC09A5" w:rsidP="00BC09A5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981614">
        <w:rPr>
          <w:rFonts w:ascii="Arial" w:eastAsia="Times New Roman" w:hAnsi="Arial" w:cs="Arial"/>
          <w:sz w:val="24"/>
          <w:szCs w:val="24"/>
          <w:lang w:eastAsia="ru-RU"/>
        </w:rPr>
        <w:t xml:space="preserve">Обычно наружная вывеска состоит из нескольких элементов, для каждого из которых используются свои материалы: </w:t>
      </w:r>
      <w:r w:rsidRPr="00981614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Основа и подложка (задняя панель)</w:t>
      </w:r>
    </w:p>
    <w:p w:rsidR="00BC09A5" w:rsidRPr="00981614" w:rsidRDefault="00BC09A5" w:rsidP="00BC09A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8161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Алюминиевый композит (АКП):</w:t>
      </w:r>
      <w:r w:rsidRPr="0098161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8161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Самый популярный материал</w:t>
      </w:r>
      <w:r w:rsidRPr="00981614">
        <w:rPr>
          <w:rFonts w:ascii="Arial" w:eastAsia="Times New Roman" w:hAnsi="Arial" w:cs="Arial"/>
          <w:sz w:val="24"/>
          <w:szCs w:val="24"/>
          <w:lang w:eastAsia="ru-RU"/>
        </w:rPr>
        <w:t xml:space="preserve"> для коробов и фоновых подложек. Он состоит из двух слоев алюминия и пластиковой прослойки. Композит не ржавеет, не деформируется от жары и мороза, имеет ровную глянцевую или матовую поверхность. </w:t>
      </w:r>
    </w:p>
    <w:p w:rsidR="00BC09A5" w:rsidRPr="00981614" w:rsidRDefault="00BC09A5" w:rsidP="00BC09A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8161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Вспененный ПВХ (пластик):</w:t>
      </w:r>
      <w:r w:rsidRPr="00981614">
        <w:rPr>
          <w:rFonts w:ascii="Arial" w:eastAsia="Times New Roman" w:hAnsi="Arial" w:cs="Arial"/>
          <w:sz w:val="24"/>
          <w:szCs w:val="24"/>
          <w:lang w:eastAsia="ru-RU"/>
        </w:rPr>
        <w:t xml:space="preserve"> Листы поливинилхлорида толщиной от 3 до 10 мм. ПВХ легкий, прочный, легко режется и склеивается. Обычно используется для задних стенок световых букв и небольших плоских вывесок. </w:t>
      </w:r>
      <w:r w:rsidRPr="0098161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Металлокаркас:</w:t>
      </w:r>
      <w:r w:rsidRPr="00981614">
        <w:rPr>
          <w:rFonts w:ascii="Arial" w:eastAsia="Times New Roman" w:hAnsi="Arial" w:cs="Arial"/>
          <w:sz w:val="24"/>
          <w:szCs w:val="24"/>
          <w:lang w:eastAsia="ru-RU"/>
        </w:rPr>
        <w:t xml:space="preserve"> Внутри крупных вывесок устанавливается скрытый скелет из профильной стальной трубы, защищенной от коррозии.</w:t>
      </w:r>
    </w:p>
    <w:p w:rsidR="00BC09A5" w:rsidRDefault="00BC09A5">
      <w:r>
        <w:t>Согласовать с заказчикам.</w:t>
      </w:r>
    </w:p>
    <w:sectPr w:rsidR="00BC09A5" w:rsidSect="00287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8139D"/>
    <w:multiLevelType w:val="multilevel"/>
    <w:tmpl w:val="54469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C09A5"/>
    <w:rsid w:val="00287901"/>
    <w:rsid w:val="00540192"/>
    <w:rsid w:val="00BC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2026-10-22T14:44:00Z</dcterms:created>
  <dcterms:modified xsi:type="dcterms:W3CDTF">2026-10-22T14:45:00Z</dcterms:modified>
</cp:coreProperties>
</file>