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A736B">
      <w:pPr>
        <w:jc w:val="center"/>
        <w:rPr>
          <w:rFonts w:hint="default" w:ascii="Times New Roman" w:hAnsi="Times New Roman" w:cs="Times New Roman"/>
          <w:b/>
          <w:bCs/>
          <w:sz w:val="36"/>
          <w:szCs w:val="36"/>
        </w:rPr>
      </w:pPr>
      <w:r>
        <w:rPr>
          <w:rFonts w:hint="default" w:ascii="Times New Roman" w:hAnsi="Times New Roman" w:cs="Times New Roman"/>
          <w:b/>
          <w:bCs/>
          <w:sz w:val="36"/>
          <w:szCs w:val="36"/>
        </w:rPr>
        <w:t>ТЕХНИЧЕСКАЯ СПЕЦИФИКАЦИЯ</w:t>
      </w:r>
    </w:p>
    <w:p w14:paraId="5C6F6F2A">
      <w:pPr>
        <w:jc w:val="center"/>
        <w:rPr>
          <w:rFonts w:hint="default" w:ascii="Times New Roman" w:hAnsi="Times New Roman" w:cs="Times New Roman"/>
          <w:b/>
          <w:bCs/>
          <w:sz w:val="36"/>
          <w:szCs w:val="36"/>
        </w:rPr>
      </w:pPr>
      <w:r>
        <w:rPr>
          <w:rFonts w:hint="default" w:ascii="Times New Roman" w:hAnsi="Times New Roman" w:cs="Times New Roman"/>
          <w:b/>
          <w:bCs/>
          <w:sz w:val="36"/>
          <w:szCs w:val="36"/>
        </w:rPr>
        <w:t xml:space="preserve">на </w:t>
      </w:r>
      <w:r>
        <w:rPr>
          <w:rFonts w:hint="default" w:ascii="Times New Roman" w:hAnsi="Times New Roman" w:cs="Times New Roman"/>
          <w:b/>
          <w:bCs/>
          <w:sz w:val="36"/>
          <w:szCs w:val="36"/>
          <w:lang w:val="kk-KZ"/>
        </w:rPr>
        <w:t xml:space="preserve">изготовлению </w:t>
      </w:r>
      <w:r>
        <w:rPr>
          <w:rFonts w:hint="default" w:ascii="Times New Roman" w:hAnsi="Times New Roman" w:cs="Times New Roman"/>
          <w:b/>
          <w:bCs/>
          <w:sz w:val="36"/>
          <w:szCs w:val="36"/>
        </w:rPr>
        <w:t>специального ковра для игры «Асық ату»</w:t>
      </w:r>
    </w:p>
    <w:p w14:paraId="17CDF12B">
      <w:pPr>
        <w:rPr>
          <w:rFonts w:hint="default" w:ascii="Times New Roman" w:hAnsi="Times New Roman" w:cs="Times New Roman"/>
          <w:sz w:val="28"/>
          <w:szCs w:val="28"/>
        </w:rPr>
      </w:pPr>
    </w:p>
    <w:p w14:paraId="0DDE5B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224" w:firstLineChars="8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Наименование товара: Ковер специализированный спортивно-игровой для национальной игры «Асық ату».</w:t>
      </w:r>
    </w:p>
    <w:p w14:paraId="375678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224" w:firstLineChars="8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Назначение: Проведение спортивных соревнований, тренировочных занятий, культурно-массовых и образовательных мероприятий по национальным видам спорта.</w:t>
      </w:r>
    </w:p>
    <w:p w14:paraId="28508E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224" w:firstLineChars="8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Условия эксплуатации: В закрытых помещениях (спортивные залы, школы, спортивные комплексы) и на открытых площадках с ровным твердым покрытием.</w:t>
      </w:r>
    </w:p>
    <w:p w14:paraId="585233D2">
      <w:pPr>
        <w:rPr>
          <w:rFonts w:hint="default"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Ind w:w="15" w:type="dxa"/>
        <w:tblBorders>
          <w:top w:val="none" w:color="1F1F1F" w:sz="0" w:space="0"/>
          <w:left w:val="none" w:color="1F1F1F" w:sz="0" w:space="0"/>
          <w:bottom w:val="none" w:color="1F1F1F" w:sz="0" w:space="0"/>
          <w:right w:val="none" w:color="1F1F1F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75"/>
        <w:gridCol w:w="6666"/>
      </w:tblGrid>
      <w:tr w14:paraId="578A2305">
        <w:tblPrEx>
          <w:tblBorders>
            <w:top w:val="none" w:color="1F1F1F" w:sz="0" w:space="0"/>
            <w:left w:val="none" w:color="1F1F1F" w:sz="0" w:space="0"/>
            <w:bottom w:val="none" w:color="1F1F1F" w:sz="0" w:space="0"/>
            <w:right w:val="none" w:color="1F1F1F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C2F4DAB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Style w:val="4"/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Параметр</w:t>
            </w:r>
          </w:p>
        </w:tc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D9BA43B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Style w:val="4"/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Требуемое значение / Характеристика</w:t>
            </w:r>
          </w:p>
        </w:tc>
      </w:tr>
      <w:tr w14:paraId="710CE6D0">
        <w:tblPrEx>
          <w:tblBorders>
            <w:top w:val="none" w:color="1F1F1F" w:sz="0" w:space="0"/>
            <w:left w:val="none" w:color="1F1F1F" w:sz="0" w:space="0"/>
            <w:bottom w:val="none" w:color="1F1F1F" w:sz="0" w:space="0"/>
            <w:right w:val="none" w:color="1F1F1F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B09F99E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Style w:val="4"/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kk-KZ" w:eastAsia="zh-CN" w:bidi="ar"/>
              </w:rPr>
            </w:pPr>
            <w:r>
              <w:rPr>
                <w:rStyle w:val="4"/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kk-KZ" w:eastAsia="zh-CN" w:bidi="ar"/>
              </w:rPr>
              <w:t>Количество</w:t>
            </w:r>
          </w:p>
        </w:tc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86936B0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Style w:val="4"/>
                <w:rFonts w:hint="default" w:ascii="Times New Roman" w:hAnsi="Times New Roman" w:eastAsia="sans-serif" w:cs="Times New Roman"/>
                <w:b w:val="0"/>
                <w:bCs w:val="0"/>
                <w:color w:val="1F1F1F"/>
                <w:kern w:val="0"/>
                <w:sz w:val="24"/>
                <w:szCs w:val="24"/>
                <w:bdr w:val="none" w:color="1F1F1F" w:sz="0" w:space="0"/>
                <w:lang w:val="kk-KZ" w:eastAsia="zh-CN" w:bidi="ar"/>
              </w:rPr>
            </w:pPr>
            <w:r>
              <w:rPr>
                <w:rStyle w:val="4"/>
                <w:rFonts w:hint="default" w:ascii="Times New Roman" w:hAnsi="Times New Roman" w:eastAsia="sans-serif" w:cs="Times New Roman"/>
                <w:b w:val="0"/>
                <w:bCs w:val="0"/>
                <w:color w:val="1F1F1F"/>
                <w:kern w:val="0"/>
                <w:sz w:val="24"/>
                <w:szCs w:val="24"/>
                <w:bdr w:val="none" w:color="1F1F1F" w:sz="0" w:space="0"/>
                <w:lang w:val="kk-KZ" w:eastAsia="zh-CN" w:bidi="ar"/>
              </w:rPr>
              <w:t>2 штук</w:t>
            </w:r>
          </w:p>
        </w:tc>
      </w:tr>
      <w:tr w14:paraId="61D4EB39">
        <w:tblPrEx>
          <w:tblBorders>
            <w:top w:val="none" w:color="1F1F1F" w:sz="0" w:space="0"/>
            <w:left w:val="none" w:color="1F1F1F" w:sz="0" w:space="0"/>
            <w:bottom w:val="none" w:color="1F1F1F" w:sz="0" w:space="0"/>
            <w:right w:val="none" w:color="1F1F1F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F23A765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Форма и размеры</w:t>
            </w:r>
          </w:p>
        </w:tc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AEE50B4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 xml:space="preserve">Квадратная, не менее 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 xml:space="preserve">5,0 х 5,0 метров </w:t>
            </w:r>
            <w:r>
              <w:rPr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(допускается 5,04 х 5,04 м).</w:t>
            </w:r>
          </w:p>
        </w:tc>
      </w:tr>
      <w:tr w14:paraId="59EB3E96">
        <w:tblPrEx>
          <w:tblBorders>
            <w:top w:val="none" w:color="1F1F1F" w:sz="0" w:space="0"/>
            <w:left w:val="none" w:color="1F1F1F" w:sz="0" w:space="0"/>
            <w:bottom w:val="none" w:color="1F1F1F" w:sz="0" w:space="0"/>
            <w:right w:val="none" w:color="1F1F1F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B0D0B6C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Состав ворса</w:t>
            </w:r>
          </w:p>
        </w:tc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4C0CB88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 xml:space="preserve">100% полипропилен (Хит-Сет / Heat-Set). </w:t>
            </w:r>
          </w:p>
        </w:tc>
      </w:tr>
      <w:tr w14:paraId="1D090AB5">
        <w:tblPrEx>
          <w:tblBorders>
            <w:top w:val="none" w:color="1F1F1F" w:sz="0" w:space="0"/>
            <w:left w:val="none" w:color="1F1F1F" w:sz="0" w:space="0"/>
            <w:bottom w:val="none" w:color="1F1F1F" w:sz="0" w:space="0"/>
            <w:right w:val="none" w:color="1F1F1F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A636623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Тип плетения / ворса</w:t>
            </w:r>
          </w:p>
        </w:tc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A72D85F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Тканный, разрезной ворс плотной структуры.</w:t>
            </w:r>
          </w:p>
        </w:tc>
      </w:tr>
      <w:tr w14:paraId="17E26AA5">
        <w:tblPrEx>
          <w:tblBorders>
            <w:top w:val="none" w:color="1F1F1F" w:sz="0" w:space="0"/>
            <w:left w:val="none" w:color="1F1F1F" w:sz="0" w:space="0"/>
            <w:bottom w:val="none" w:color="1F1F1F" w:sz="0" w:space="0"/>
            <w:right w:val="none" w:color="1F1F1F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230902C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Высота ворса</w:t>
            </w:r>
          </w:p>
        </w:tc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62106E6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 xml:space="preserve">От 5 до 7 мм </w:t>
            </w:r>
          </w:p>
        </w:tc>
      </w:tr>
      <w:tr w14:paraId="5B930A54">
        <w:tblPrEx>
          <w:tblBorders>
            <w:top w:val="none" w:color="1F1F1F" w:sz="0" w:space="0"/>
            <w:left w:val="none" w:color="1F1F1F" w:sz="0" w:space="0"/>
            <w:bottom w:val="none" w:color="1F1F1F" w:sz="0" w:space="0"/>
            <w:right w:val="none" w:color="1F1F1F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C370B6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Материал основы</w:t>
            </w:r>
          </w:p>
        </w:tc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F565B34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Джут / хлопок / полиэст</w:t>
            </w:r>
            <w:bookmarkStart w:id="0" w:name="_GoBack"/>
            <w:bookmarkEnd w:id="0"/>
            <w:r>
              <w:rPr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 xml:space="preserve">ер </w:t>
            </w:r>
          </w:p>
        </w:tc>
      </w:tr>
      <w:tr w14:paraId="3067E1BC">
        <w:tblPrEx>
          <w:tblBorders>
            <w:top w:val="none" w:color="1F1F1F" w:sz="0" w:space="0"/>
            <w:left w:val="none" w:color="1F1F1F" w:sz="0" w:space="0"/>
            <w:bottom w:val="none" w:color="1F1F1F" w:sz="0" w:space="0"/>
            <w:right w:val="none" w:color="1F1F1F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B42EFB3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Цветовое исполнение</w:t>
            </w:r>
          </w:p>
        </w:tc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CD563AD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Основной фон: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 xml:space="preserve"> черный или темно-синий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color w:val="1F1F1F"/>
                <w:kern w:val="0"/>
                <w:sz w:val="24"/>
                <w:szCs w:val="24"/>
                <w:bdr w:val="none" w:color="1F1F1F" w:sz="0" w:space="0"/>
                <w:lang w:val="kk-KZ" w:eastAsia="zh-CN" w:bidi="ar"/>
              </w:rPr>
              <w:t>.</w:t>
            </w:r>
            <w:r>
              <w:rPr>
                <w:rFonts w:hint="default" w:ascii="Times New Roman" w:hAnsi="Times New Roman" w:eastAsia="sans-serif" w:cs="Times New Roman"/>
                <w:b/>
                <w:bCs/>
                <w:color w:val="1F1F1F"/>
                <w:kern w:val="0"/>
                <w:sz w:val="24"/>
                <w:szCs w:val="24"/>
                <w:bdr w:val="none" w:color="1F1F1F" w:sz="0" w:space="0"/>
                <w:lang w:val="kk-KZ" w:eastAsia="zh-CN" w:bidi="ar"/>
              </w:rPr>
              <w:t xml:space="preserve"> </w:t>
            </w:r>
            <w:r>
              <w:rPr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 xml:space="preserve"> Игровые линии и элементы орнамента: контрастный белый или желтый цвет.</w:t>
            </w:r>
          </w:p>
        </w:tc>
      </w:tr>
      <w:tr w14:paraId="33BBCF2A">
        <w:tblPrEx>
          <w:tblBorders>
            <w:top w:val="none" w:color="1F1F1F" w:sz="0" w:space="0"/>
            <w:left w:val="none" w:color="1F1F1F" w:sz="0" w:space="0"/>
            <w:bottom w:val="none" w:color="1F1F1F" w:sz="0" w:space="0"/>
            <w:right w:val="none" w:color="1F1F1F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0BC4213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Обработка краев</w:t>
            </w:r>
          </w:p>
        </w:tc>
        <w:tc>
          <w:tcPr>
            <w:tcW w:w="0" w:type="auto"/>
            <w:tcBorders>
              <w:top w:val="single" w:color="C4C7C5" w:sz="6" w:space="0"/>
              <w:left w:val="single" w:color="C4C7C5" w:sz="6" w:space="0"/>
              <w:bottom w:val="single" w:color="C4C7C5" w:sz="6" w:space="0"/>
              <w:right w:val="single" w:color="C4C7C5" w:sz="6" w:space="0"/>
            </w:tcBorders>
            <w:shd w:val="clear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89A73F4"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5" w:lineRule="atLeast"/>
              <w:ind w:left="0" w:right="0"/>
              <w:jc w:val="left"/>
              <w:rPr>
                <w:rFonts w:hint="default" w:ascii="Times New Roman" w:hAnsi="Times New Roman" w:eastAsia="sans-serif" w:cs="Times New Roman"/>
                <w:color w:val="1F1F1F"/>
              </w:rPr>
            </w:pPr>
            <w:r>
              <w:rPr>
                <w:rFonts w:hint="default" w:ascii="Times New Roman" w:hAnsi="Times New Roman" w:eastAsia="sans-serif" w:cs="Times New Roman"/>
                <w:color w:val="1F1F1F"/>
                <w:kern w:val="0"/>
                <w:sz w:val="24"/>
                <w:szCs w:val="24"/>
                <w:bdr w:val="none" w:color="1F1F1F" w:sz="0" w:space="0"/>
                <w:lang w:val="en-US" w:eastAsia="zh-CN" w:bidi="ar"/>
              </w:rPr>
              <w:t>Качественная оверлочная обработка (оверлок) по всему периметру прочной нитью в тон основного поля для предотвращения распускания краев.</w:t>
            </w:r>
          </w:p>
        </w:tc>
      </w:tr>
    </w:tbl>
    <w:p w14:paraId="15EAE589">
      <w:pPr>
        <w:rPr>
          <w:rFonts w:hint="default" w:ascii="Times New Roman" w:hAnsi="Times New Roman" w:cs="Times New Roman"/>
          <w:sz w:val="28"/>
          <w:szCs w:val="28"/>
        </w:rPr>
      </w:pPr>
    </w:p>
    <w:p w14:paraId="0A504D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224" w:firstLineChars="8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Гарантийные обязательства</w:t>
      </w:r>
    </w:p>
    <w:p w14:paraId="063FED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224" w:firstLineChars="8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Гарантийный срок: Не менее 12 месяцев с момента подписания акта приема-передачи товара.</w:t>
      </w:r>
    </w:p>
    <w:p w14:paraId="7824B1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224" w:firstLineChars="8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Условия гарантии: Поставщик гарантирует устранение производственных дефектов, замену товара при выявлении брака, распускания швов или деформации основы в течение гарантийного срока.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456112"/>
    <w:rsid w:val="1C456112"/>
    <w:rsid w:val="3DC2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2026-10-07T05:16:00Z</dcterms:created>
  <dc:creator>1</dc:creator>
  <cp:lastModifiedBy>Sultan Samat</cp:lastModifiedBy>
  <dcterms:modified xsi:type="dcterms:W3CDTF">2026-10-07T05:23:58Z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00A6E9024EB4407BBE4567BA8EFDD721_11</vt:lpwstr>
  </property>
  <property fmtid="{D5CDD505-2E9C-101B-9397-08002B2CF9AE}" pid="4" name="KSOTemplateDocerSaveRecord">
    <vt:lpwstr>eyJoZGlkIjoiMDY5Y2Y2MDcwOTFmNDkwODY1OWFlN2I2ODJhNjBmYzciLCJ1c2VySWQiOiI1Mzc3OTE3MzczNDQxIn0=</vt:lpwstr>
  </property>
</Properties>
</file>