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06F1A3">
      <w:pPr>
        <w:suppressAutoHyphens/>
        <w:spacing w:before="100" w:beforeAutospacing="1"/>
        <w:contextualSpacing/>
        <w:jc w:val="center"/>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БІЛІМ БЕРУ НЫСАНДАРЫНЫҢ ҚАУІПСІЗДІГІН ҚАМТАМАСЫЗ ЕТУ МАҚСАТЫНДА</w:t>
      </w:r>
    </w:p>
    <w:p w14:paraId="7F746039">
      <w:pPr>
        <w:suppressAutoHyphens/>
        <w:spacing w:before="100" w:beforeAutospacing="1"/>
        <w:contextualSpacing/>
        <w:jc w:val="center"/>
        <w:rPr>
          <w:rFonts w:ascii="Times New Roman" w:hAnsi="Times New Roman" w:eastAsia="Arial" w:cs="Times New Roman"/>
          <w:sz w:val="24"/>
          <w:szCs w:val="24"/>
          <w:lang w:eastAsia="ru-RU"/>
        </w:rPr>
      </w:pPr>
      <w:r>
        <w:rPr>
          <w:rFonts w:ascii="Times New Roman" w:hAnsi="Times New Roman" w:eastAsia="Arial" w:cs="Times New Roman"/>
          <w:b/>
          <w:bCs/>
          <w:color w:val="000000"/>
          <w:sz w:val="24"/>
          <w:szCs w:val="24"/>
          <w:lang w:eastAsia="ru-RU"/>
        </w:rPr>
        <w:t>ДАБЫЛ ТҮЙМЕЛЕРІНЕ СЕРВИСТІК ҚЫЗМЕТ КӨРСЕТУГЕ АРНАЛҒАН</w:t>
      </w:r>
      <w:r>
        <w:rPr>
          <w:rFonts w:ascii="Times New Roman" w:hAnsi="Times New Roman" w:eastAsia="Arial" w:cs="Times New Roman"/>
          <w:b/>
          <w:bCs/>
          <w:sz w:val="24"/>
          <w:szCs w:val="24"/>
          <w:lang w:eastAsia="ru-RU"/>
        </w:rPr>
        <w:br w:type="textWrapping"/>
      </w:r>
      <w:r>
        <w:rPr>
          <w:rFonts w:ascii="Times New Roman" w:hAnsi="Times New Roman" w:eastAsia="Arial" w:cs="Times New Roman"/>
          <w:b/>
          <w:bCs/>
          <w:color w:val="000000"/>
          <w:sz w:val="24"/>
          <w:szCs w:val="24"/>
          <w:lang w:eastAsia="ru-RU"/>
        </w:rPr>
        <w:t>ТЕХНИКАЛЫҚ СПЕЦИФИКАЦИЯ</w:t>
      </w:r>
    </w:p>
    <w:p w14:paraId="1B7DB28B">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 xml:space="preserve"> </w:t>
      </w:r>
    </w:p>
    <w:p w14:paraId="40E852A7">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1. Жалпы мәліметтер</w:t>
      </w:r>
    </w:p>
    <w:p w14:paraId="580B780C">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1.1. Осы техникалық спецификация білім беру нысандарына арналған дабыл түймелеріне (бұдан әрі – Құрылғы) сервистік қызмет көрсету үшін әзірленді және террористік тұрғыдан осал объектілерді техникалық қорғау талаптарына сәйкес Қазақстан Республикасының нормативтік-құқықтық актілеріне сәйкес әзірленген, атап айтқанда:</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2021 жылғы 6 мамырдағы №305 Қазақстан Республикасы Үкіметінің «Террористік тұрғыдан осал объектілердің терроризмге қарсы қорғалуын ұйымдастыру талаптарын бекіту туралы» қаулысы.</w:t>
      </w:r>
    </w:p>
    <w:p w14:paraId="4248E468">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1.2. Осы техникалық спецификация Түркістан қаласының білім беру ұйымдарында орнатылған құрылғыларға сервистік қызмет көрсетуге қойылатын талаптарды белгілейтін негізгі құжат болып табылады.</w:t>
      </w:r>
    </w:p>
    <w:p w14:paraId="58A91C20">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1.3. Осы техникалық спецификацияда сипатталған барлық талаптар, мақсаттар, шарттар, сипаттамалар және өзге де талаптар Поставщик үшін міндетті болып табылады. Мемлекеттік сатып алуға қатысуға өтінім беру барысында Поставщик ұсынылатын жабдықтың паспорттарын және/немесе даташиттерін ұсынуға міндетті. Осы техникалық спецификацияда көрсетілген талаптардың, мақсаттардың, шарттардың, сипаттамалардың кез келгеніне сәйкессіздік анықталған жағдайда, Тапсырыс беруші Қазақстан Республикасының «Мемлекеттік сатып алу туралы» Заңына сәйкес шаралар қабылдауға міндетті.</w:t>
      </w:r>
    </w:p>
    <w:p w14:paraId="4E14A995">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1.4. Құрылғыларға сервистік қызмет көрсету кезінде қолданылатын барлық техникалық және бағдарламалық құралдар бойынша лицензиялық келісімдердің талаптары сақталуы және Қазақстан Республикасының аумағында патенттік тазалық қамтамасыз етілуі тиіс. Құрылғылар және олардың құрамдас бөліктері үшінші тұлғалардың өнеркәсіптік, зияткерлік немесе өзге де меншік құқықтарына қатысты кез келген талаптар мен шағымдардан еркін болуы тиіс.</w:t>
      </w:r>
    </w:p>
    <w:p w14:paraId="54478036">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1.5. Құрылғылар мен бағдарламалық қамтамасыз етуге сервистік қызмет көрсету осы техникалық спецификацияда көрсетілген көлемде және мерзімдерде толық көлемде жүзеге асырылуы тиіс.</w:t>
      </w:r>
    </w:p>
    <w:p w14:paraId="740BA889">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1.6. Ұсынылатын құрылғылар мен бағдарламалық қамтамасыз етудің барлық сипаттамалары осы техникалық спецификацияда көрсетілген талаптарға толық сәйкес келуі тиіс.</w:t>
      </w:r>
    </w:p>
    <w:p w14:paraId="0785B054">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 xml:space="preserve"> </w:t>
      </w:r>
    </w:p>
    <w:p w14:paraId="19EFB80E">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2. Мақсаттары мен міндеттері</w:t>
      </w:r>
    </w:p>
    <w:p w14:paraId="4E0E7364">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2.1. Сатып алудың негізгі мақсаты – құқық бұзушылықтар мен қауіпсіздік жағдайлары туралы шұғыл қызметтерді уақтылы хабардар ету, қолда бар жедел ақпаратты талдау және қауіпсіздікті ұйымдастыру мен қолдау бойынша шешімдер қабылдау арқылы білім беру нысандарындағы қауіпсіздік деңгейін арттыру.</w:t>
      </w:r>
    </w:p>
    <w:p w14:paraId="345EC189">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2.2. Сатып алудың міндеті –  IDC «Mektep» маркалы құрылғыларға сервистік қызмет көрсету және құрылғыларды Шымкент қаласының Полиция департаментінің Жедел басқару орталығына (бұдан әрі – ПД ЖБО) интеграциялау.</w:t>
      </w:r>
    </w:p>
    <w:p w14:paraId="7A8AE923">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2.3. Поставщик IDC «Mektep» құрылғыларына, сондай-ақ бағдарламалық қамтамасыз етуге сервистік қызмет көрсетуді, барлық құрылғылардың орталық серверін ПД ЖБО-ға VPN арнасы арқылы қосуды</w:t>
      </w:r>
      <w:r>
        <w:rPr>
          <w:rFonts w:ascii="Times New Roman" w:hAnsi="Times New Roman" w:eastAsia="Arial" w:cs="Times New Roman"/>
          <w:b/>
          <w:bCs/>
          <w:sz w:val="24"/>
          <w:szCs w:val="24"/>
          <w:lang w:eastAsia="ru-RU"/>
        </w:rPr>
        <w:t xml:space="preserve"> (</w:t>
      </w:r>
      <w:r>
        <w:rPr>
          <w:rFonts w:hint="default" w:ascii="Times New Roman" w:hAnsi="Times New Roman" w:eastAsia="Arial" w:cs="Times New Roman"/>
          <w:b/>
          <w:bCs/>
          <w:sz w:val="24"/>
          <w:szCs w:val="24"/>
          <w:lang w:val="kk-KZ" w:eastAsia="ru-RU"/>
        </w:rPr>
        <w:t>1</w:t>
      </w:r>
      <w:r>
        <w:rPr>
          <w:rFonts w:ascii="Times New Roman" w:hAnsi="Times New Roman" w:eastAsia="Arial" w:cs="Times New Roman"/>
          <w:b/>
          <w:bCs/>
          <w:sz w:val="24"/>
          <w:szCs w:val="24"/>
          <w:lang w:eastAsia="ru-RU"/>
        </w:rPr>
        <w:t xml:space="preserve"> дана) қамтамасыз е</w:t>
      </w:r>
      <w:r>
        <w:rPr>
          <w:rFonts w:ascii="Times New Roman" w:hAnsi="Times New Roman" w:eastAsia="Arial" w:cs="Times New Roman"/>
          <w:sz w:val="24"/>
          <w:szCs w:val="24"/>
          <w:lang w:eastAsia="ru-RU"/>
        </w:rPr>
        <w:t xml:space="preserve">туі тиіс. </w:t>
      </w:r>
    </w:p>
    <w:p w14:paraId="76911FE2">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 xml:space="preserve"> </w:t>
      </w:r>
    </w:p>
    <w:p w14:paraId="097D3D50">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3. Дабыл түймесінің қысқаша сипаттамасы</w:t>
      </w:r>
    </w:p>
    <w:p w14:paraId="220DBE15">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3.1. Дабыл түймесі (бұдан әрі – Құрылғы) панельде орналасқан шақыру түймесін басу арқылы ПД ЖБО операторымен жедел байланыс орнатуға мүмкіндік беруі тиіс. Құрылғы нөмір термей-ақ ішкі істер органдарының қызметкерлерімен жедел байланыс орнатуға және төтенше жағдайда көмек сұрауға немесе жасалған қылмыстар мен құқық бұзушылықтар туралы полиция қызметкерлеріне хабарлауға мүмкіндік беруі тиіс.</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Шақыру түймесі басылғаннан кейін 1–3 секунд ішінде ПД ЖБО-ның кезекші операторы Тапсырыс беруші ұйымдастырған жеке автоматтандырылған жұмыс орнында (бұдан әрі – АЖО) Құрылғыға орнатылған кең бұрышты камераның көмегімен оқиға орнындағы толық жағдайды көруі тиіс, ал жаңғырық пен шуды басу функциясы бар микрофон арқылы абонент пен кезекші оператор арасында сөйлесу жүзеге асырылады.</w:t>
      </w:r>
    </w:p>
    <w:p w14:paraId="1FD3AD3E">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 xml:space="preserve"> </w:t>
      </w:r>
    </w:p>
    <w:p w14:paraId="0C79F0AF">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4. Мерзімдері мен саны</w:t>
      </w:r>
    </w:p>
    <w:p w14:paraId="26C2A22E">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4.1. Поставщик шартқа қол қойылған сәттен бастап 2026 жылдың соңына дейін полицияны шұғыл шақыру құрылғыларына сервистік қызмет көрсетуі тиіс.</w:t>
      </w:r>
    </w:p>
    <w:p w14:paraId="2A70CC95">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 xml:space="preserve">4.2. Поставщик осы техникалық спецификацияның 5-бөлімінде көрсетілген техникалық сипаттамаларға сәйкес IDC «Mektep» маркалы </w:t>
      </w:r>
      <w:r>
        <w:rPr>
          <w:rFonts w:hint="default" w:ascii="Times New Roman" w:hAnsi="Times New Roman" w:eastAsia="Arial" w:cs="Times New Roman"/>
          <w:sz w:val="24"/>
          <w:szCs w:val="24"/>
          <w:lang w:val="kk-KZ" w:eastAsia="ru-RU"/>
        </w:rPr>
        <w:t>1</w:t>
      </w:r>
      <w:r>
        <w:rPr>
          <w:rFonts w:ascii="Times New Roman" w:hAnsi="Times New Roman" w:eastAsia="Arial" w:cs="Times New Roman"/>
          <w:sz w:val="24"/>
          <w:szCs w:val="24"/>
          <w:highlight w:val="yellow"/>
          <w:lang w:eastAsia="ru-RU"/>
        </w:rPr>
        <w:t xml:space="preserve"> құрылғыға</w:t>
      </w:r>
      <w:r>
        <w:rPr>
          <w:rFonts w:ascii="Times New Roman" w:hAnsi="Times New Roman" w:eastAsia="Arial" w:cs="Times New Roman"/>
          <w:sz w:val="24"/>
          <w:szCs w:val="24"/>
          <w:lang w:eastAsia="ru-RU"/>
        </w:rPr>
        <w:t xml:space="preserve"> сервистік қызмет көрсетуі тиіс.</w:t>
      </w:r>
    </w:p>
    <w:p w14:paraId="15083E57">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 xml:space="preserve"> </w:t>
      </w:r>
    </w:p>
    <w:p w14:paraId="0510F885">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5.IDC «Mektep» дабыл түймелерінің техникалық сипаттамалары</w:t>
      </w:r>
    </w:p>
    <w:p w14:paraId="5EA322B4">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5.1. Экран диагоналі кемінде 31,5 дюйм болуы тиіс. Экранның арақатынасы кемінде 16:9. Пиксель өлшемі 0,24 мм. Максималды ажыратымдылық кемінде 1920x1080. Максималды ажыратымдылықтағы жиілік кемінде 50 Гц және 60 Гц-ден аспауы тиіс. Экранның көру бұрыштары горизонталь/вертикаль бойынша H:170/V:160. Жарықтылығы кемінде 180 кд/м². Контрасттылығы 1000:1. Жауап беру уақыты 8 мс. Көрсетілетін түстер саны 16,7 млн. Қосылу интерфейсі HDMI.</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Басқару блогы: орталық басқару блогының форм-факторы 87 х 58 х 20 мм. Процессор ядроларының саны кемінде 4 ядро. Тактілік жиілігі 1,5 ГГц. Жедел жады көлемі кемінде 2 ГБ. Жады түрі DDR4-2400. Цифрлық бейне шығысы кемінде 2 дана (micro-HDMI/USB). USB 2.0 стандартты порттары – 4 дана. Сымсыз желі WiFi 2.4 ГГц және 5.0 ГГц IEEE 802.11ac. Ethernet порты 1000 Мб. Bluetooth 5 нұсқасы. Видеокамераға арналған қосқыш кемінде 2-lane MIPI CSI. Қуат көзі USB-C 5В.</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Жинақтаушы SD форматында. Карта сыйымдылығы кемінде 16 ГБ. Оқу жылдамдығы 100 МБ/сек. Жазу жылдамдығы 50 МБ/сек.</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Максималды бейне ажыратымдылығы кемінде 4 Мп және 8 Мп-ден аспауы тиіс. Қолдайтын бейне форматтары: 1080p, 720p, 640p, кадр жиілігі 30 кадр/сек. Эквивалентті фокустық қашықтығы 33 мм.</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 xml:space="preserve">Микрофон бағыттылығы кемінде кардиоидты. Аудио қосқыш 3,5 мм – 1 дана. Дыбыс картасының қосылу түрі USB 2.0 – 1 дана. Құлаққапқа арналған тәуелсіз аналогтық шығыстар – </w:t>
      </w:r>
      <w:r>
        <w:rPr>
          <w:rFonts w:ascii="Times New Roman" w:hAnsi="Times New Roman" w:eastAsia="Arial" w:cs="Times New Roman"/>
          <w:sz w:val="24"/>
          <w:szCs w:val="24"/>
          <w:lang w:val="kk-KZ" w:eastAsia="ru-RU"/>
        </w:rPr>
        <w:t>4</w:t>
      </w:r>
      <w:r>
        <w:rPr>
          <w:rFonts w:ascii="Times New Roman" w:hAnsi="Times New Roman" w:eastAsia="Arial" w:cs="Times New Roman"/>
          <w:sz w:val="24"/>
          <w:szCs w:val="24"/>
          <w:lang w:eastAsia="ru-RU"/>
        </w:rPr>
        <w:t xml:space="preserve"> дана. Динамик арналарының саны кемінде стерео.</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Жүйенің жалпы қуаты 10 Вт. Сателлит қуаты 1,5 Вт. Шу деңгейі 70 дБ. Минималды жиілік кемінде 80 Гц. Максималды жиілік 18 кГц.</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Антивандалдық түйме өлшемі кемінде 10 мм. Кернеуі кемінде 12 В. Қуат блогының түрі импульстік. Кіріс кернеуі 220 В, 1,3 А. Шығыс кернеуі 12 В. Жұмыс температурасы 70,0 °C. Минималды температура -40,0 °C-тан төмен болмауы тиіс.</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 xml:space="preserve">Корпус қалыңдығы кемінде 1 мм суықтай илектелген болаттан жасалуы тиіс, түсі – қызғылт сары, бояу технологиясы – полимерлі. Форм-факторы кемінде 800 х 600 х 110 мм. Динамиктер кемінде 10 Вт, саны – </w:t>
      </w:r>
      <w:r>
        <w:rPr>
          <w:rFonts w:hint="default" w:ascii="Times New Roman" w:hAnsi="Times New Roman" w:eastAsia="Arial" w:cs="Times New Roman"/>
          <w:sz w:val="24"/>
          <w:szCs w:val="24"/>
          <w:lang w:val="kk-KZ" w:eastAsia="ru-RU"/>
        </w:rPr>
        <w:t>1</w:t>
      </w:r>
      <w:r>
        <w:rPr>
          <w:rFonts w:ascii="Times New Roman" w:hAnsi="Times New Roman" w:eastAsia="Arial" w:cs="Times New Roman"/>
          <w:sz w:val="24"/>
          <w:szCs w:val="24"/>
          <w:lang w:eastAsia="ru-RU"/>
        </w:rPr>
        <w:t xml:space="preserve"> дана.</w:t>
      </w:r>
    </w:p>
    <w:p w14:paraId="333335D6">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 xml:space="preserve"> </w:t>
      </w:r>
    </w:p>
    <w:p w14:paraId="4D9DFA71">
      <w:pPr>
        <w:suppressAutoHyphens/>
        <w:spacing w:before="100" w:beforeAutospacing="1"/>
        <w:contextualSpacing/>
        <w:rPr>
          <w:rFonts w:ascii="Times New Roman" w:hAnsi="Times New Roman" w:eastAsia="Arial" w:cs="Times New Roman"/>
          <w:sz w:val="24"/>
          <w:szCs w:val="24"/>
          <w:lang w:eastAsia="ru-RU"/>
        </w:rPr>
      </w:pPr>
      <w:bookmarkStart w:id="0" w:name="_GoBack"/>
      <w:bookmarkEnd w:id="0"/>
      <w:r>
        <w:rPr>
          <w:rFonts w:ascii="Times New Roman" w:hAnsi="Times New Roman" w:eastAsia="Arial" w:cs="Times New Roman"/>
          <w:sz w:val="24"/>
          <w:szCs w:val="24"/>
          <w:lang w:eastAsia="ru-RU"/>
        </w:rPr>
        <w:t>Басқару блогы: орталық басқару блогының форм-факторы 87 х 58 х 20 мм-ден аспауы тиіс. Процессор ядроларының саны кемінде 4 (төрт) ядро. Тактілік жиілігі кемінде 1,5 ГГц. Жедел жады көлемі кемінде 2 Гигабайт. Жады түрі кемінде DDR4-2400.</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Цифрлық бейне шығыстарының саны кемінде 2 дана (micro-HDMI / USB).</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USB 2.0 стандарты порттарының саны кемінде 4 дана.</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Сымсыз желі WiFi 2.4 ГГц және 5.0 ГГц IEEE 802.11ac стандартынан төмен болмауы тиіс.</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Ethernet порты кемінде 100 Мб.</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Bluetooth порты кемінде 5-нұсқа.</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Видеокамераға арналған қосқыш форматы кемінде 2-lane MIPI CSI.</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Енгізу-шығару порттарының саны кемінде 40 дана.</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Қуат көзі USB-C қосқышы арқылы, кернеуі 5 В-тан аспауы тиіс.</w:t>
      </w:r>
    </w:p>
    <w:p w14:paraId="7B998227">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Жинақтаушы SD форм-факторынан аспауы тиіс.</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Карта сыйымдылығы кемінде 8 ГБ.</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Оқу жылдамдығы кемінде 100 МБ/сек.</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Жазу жылдамдығы кемінде 85 МБ/сек.</w:t>
      </w:r>
    </w:p>
    <w:p w14:paraId="4426A849">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Максималды ажыратымдылығы кемінде 8 Мп.</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Қолдайтын бейне форматтары кемінде 1080p, 720p, 640p, кадр жиілігі 30 кадр/сек.</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Эквивалентті фокустық қашықтығы 33 мм-ден аспауы тиіс.</w:t>
      </w:r>
    </w:p>
    <w:p w14:paraId="4272CCF3">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Микрофонның бағыттылығы кемінде кардиоидты.</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Аудио қосқыш 3,5 мм – кемінде 1 дана.</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Дыбыс картасының қосылу түрі USB 2.0 – кемінде 1 дана.</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Құлаққапқа арналған тәуелсіз аналогтық шығыстар – кемінде 2 дана.</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Динамик арналарының саны кемінде стерео.</w:t>
      </w:r>
    </w:p>
    <w:p w14:paraId="5D5C0FDA">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Жүйенің жиынтық қуаты кемінде 6 Вт.</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Сателлит қуаты кемінде 1,5 Вт.</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Шу деңгейі 70 дБ-ден аспауы тиіс.</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Жүйенің минималды жиілігі кемінде 100 Гц.</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Максималды жиілігі кемінде 18 кГц.</w:t>
      </w:r>
    </w:p>
    <w:p w14:paraId="1407FF10">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Антивандалдық түйме өлшемі кемінде 16 мм.</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Кернеуі 12 В-тан аспауы тиіс.</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Қуат блогының түрі кемінде импульстік.</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Кіріс кернеуі кемінде 85 В және 264 В-тан аспауы тиіс.</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Шығыс тогы 0,3 А-дан аспауы тиіс.</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Шығыс кернеуі кемінде 12 В.</w:t>
      </w:r>
    </w:p>
    <w:p w14:paraId="059FA9AC">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Жұмыс температурасы 70,0 °C-тан аспауы тиіс.</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Минималды температура -40,0 °C-тан төмен болмауы тиіс.</w:t>
      </w:r>
    </w:p>
    <w:p w14:paraId="2D649D0D">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Кіріс кернеуі кемінде 85 В және 264 В-тан аспауы тиіс.</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Шығыс тогы кемінде 3 А.</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Шығыс кернеуі 5 В-тан аспауы тиіс.</w:t>
      </w:r>
    </w:p>
    <w:p w14:paraId="5F87B580">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Корпус қабырғасының қалыңдығы кемінде 1 мм болатын суықтай илектелген болаттан жасалуы тиіс, корпус түсі – қызғылт сары, бояу технологиясы – полимерлі.</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Форм-факторы 410 х 300 х 110 мм.</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Динамиктердің қуаты кемінде 5 Вт, саны кемінде 2 дана.</w:t>
      </w:r>
    </w:p>
    <w:p w14:paraId="587E71DE">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 xml:space="preserve"> </w:t>
      </w:r>
    </w:p>
    <w:p w14:paraId="583F8D38">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6. Бағдарламалық қамтамасыз ету</w:t>
      </w:r>
    </w:p>
    <w:p w14:paraId="581427C7">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6.1.Серверлік бөлік құрылғы іске қосылған сәттен бастап оператордың дербес компьютеріне бейне және дыбыс сигналдарын автоматты түрде қабылдауды қамтамасыз етуі тиіс;</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шақыру орнының орналасуын (объектінің атауын) анықтауы тиіс;</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операторға экранда болып жатқан жағдайды көруге және жағдайға байланысты әрекеттер мен тапсырмаларды түзетуге мүмкіндік беруі тиіс;</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дыбыстық хабарландыруды қамтамасыз етуі тиіс.</w:t>
      </w:r>
    </w:p>
    <w:p w14:paraId="3423FA94">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Серверлік бағдарламалық қамтамасыз ету JAVA EE стандартын пайдалануы тиіс.</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Бағдарламалық қамтамасыз ету клиент–сервер архитектурасы негізінде құрылуы және «ПД ЖБО АПК» бағдарламалық бөлімімен интеграциялануы тиіс.</w:t>
      </w:r>
    </w:p>
    <w:p w14:paraId="1DF600F0">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6.2.Клиенттік бөлік web-интерфейсі бар қашықтан басқару модулін қамтуы тиіс, модуль құрылғыларды мониторингтеу жүйесіне ие болуы қажет.</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Клиенттік бөлік серверде өзгерістер енгізілген кезде контентпен жаңартылып отыруы тиіс.</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Бағдарламалық қамтамасыз ету оператор мен абонент арасында екіжақты бейне-аудио байланысты қолдауы тиіс.</w:t>
      </w:r>
    </w:p>
    <w:p w14:paraId="48049555">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Клиенттік бөлік:</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 құрылғы іске қосылған сәттен бастап бейне және дыбысты ПД ЖБО-ға автоматты түрде жіберуі тиіс;</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 абонентке онлайн режимде операторды шақырып, жағдайды түсіндіруге мүмкіндік беруі тиіс;</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 құрылғының орналасқан жерін сәйкестендіру үшін бағдарламалауға мүмкіндік беруі тиіс.</w:t>
      </w:r>
    </w:p>
    <w:p w14:paraId="672CFBB7">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6.2.1. Дабыл түймелерін орталықтандырылған басқару</w:t>
      </w:r>
    </w:p>
    <w:p w14:paraId="76EAE2E3">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Барлық орнатылған дабыл түймелері Қазақстан Республикасы аумағында орналасқан бірыңғай орталықтандырылған сервер арқылы басқарылуы тиіс.</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Сервер келесі мүмкіндіктерді қамтамасыз етуі тиіс:</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 құрылғылар мен олардың конфигурацияларын орталықтандырылған басқару;</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 жабдықтың жұмысқа қабілеттілігін нақты уақыт режимінде мониторингтеу;</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 оқиғалар журналдарын және белсенділік логтарын сақтау және өңдеу.</w:t>
      </w:r>
    </w:p>
    <w:p w14:paraId="4183CD21">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Осы талаптың орындалуын растау үшін Поставщик төмендегі құжаттарды ұсынуы тиіс:</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 деректер орталығының мекенжайы көрсетілген техникалық паспорт немесе жүйе архитектурасының сипаттамасы;</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 хостинг-провайдерден немесе деректер орталығынан серверлік жабдықтың Қазақстан Республикасы аумағында орналасқанын растайтын құжат;</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 әкімшілік панельден немесе мониторинг жүйесінен орталықтандырылған басқаруды және жүйе тораптарының ҚР аумағында орналасуын растайтын скриншоттар.</w:t>
      </w:r>
    </w:p>
    <w:p w14:paraId="08F4B1B7">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6.2.2.Бағдарламалық қамтамасыз ету келесі модульдерді қамтуы тиіс:</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6.2.2.1. Қорғалған SIP протоколы;</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6.2.2.2. Дабыл түймесінен «Қазақтелеком» серверіне және «Қазақтелеком» серверінен ПД серверіне дейін виртуалды VPN арнасы;</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6.2.2.3. Барлық құрылғыларды бағдарламалық қамтамасыз ету арқылы қашықтан мониторингтеу: желі күйі, түйменің жұмысқа қабілеттілігі, серверлер мен барлық тізбектегі қосылымдардың жұмысқа қабілеттілігі.</w:t>
      </w:r>
    </w:p>
    <w:p w14:paraId="699945C4">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6.2.3.Поставщик дабыл түймелерін орталықтандырылған мониторингтеуді қамтамасыз ететін жүйені ұсынуы тиіс. Барлық құрылғылар онлайн мониторинг жүйесіне интеграциялануы тиіс, бұл түймелердің күйін, жабдықтың жұмысқа қабілеттілігін бақылауға және ақауларды уақтылы анықтауға мүмкіндік береді.</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Поставщик жабдықтың істен шығуы туралы хабарламалар келіп түсетін Telegram арнасын құруы тиіс.</w:t>
      </w:r>
    </w:p>
    <w:p w14:paraId="0420CF49">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Мониторинг жүйесі келесі функционалды қамтамасыз етуі тиіс:</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6.2.3.1. Дабыл түймесінің күйін бақылау;</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6.2.3.2. Түйменің басылу фактісін нақты уақыт режимінде тіркеу;</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6.2.3.3. Түйме іске қосылған кезде хабарламаларды жіберу;</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6.2.3.4. Желілік қосылымды мониторингтеу;</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6.2.3.5. ICMP (ping) арқылы құрылғының қолжетімділігін тексеру;</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6.2.3.6. IP-мекенжайдың болуын және шлюздің қолжетімділігін бақылау;</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6.2.3.7. Мониторинг серверімен байланыстың үзілуін бақылау;</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6.2.3.8. Процессор температурасының бақылауы;</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6.2.3.9. Жүйелік ресурстарды мониторингтеу;</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6.2.3.10. Процессор жүктемесі;</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6.2.3.11. Жедел жадыны пайдалану;</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6.2.3.12. Файлдық жүйедегі бос орын;</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6.2.3.13. Құрылғының аптаймы;</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6.2.3.14. Фондық қызметтердің жұмысын бақылау;</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6.2.3.15. Дабыл сигналдарын өңдеуге жауапты пайдаланушылық немесе жүйелік сервистердің белсенді күйін тексеру;</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6.2.3.16. Хабарландыру жүйесімен интеграция;</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6.2.3.17. Telegram арқылы хабарландырулар;</w:t>
      </w:r>
      <w:r>
        <w:rPr>
          <w:rFonts w:ascii="Times New Roman" w:hAnsi="Times New Roman" w:eastAsia="Arial" w:cs="Times New Roman"/>
          <w:sz w:val="24"/>
          <w:szCs w:val="24"/>
          <w:lang w:eastAsia="ru-RU"/>
        </w:rPr>
        <w:br w:type="textWrapping"/>
      </w:r>
      <w:r>
        <w:rPr>
          <w:rFonts w:ascii="Times New Roman" w:hAnsi="Times New Roman" w:eastAsia="Arial" w:cs="Times New Roman"/>
          <w:sz w:val="24"/>
          <w:szCs w:val="24"/>
          <w:lang w:eastAsia="ru-RU"/>
        </w:rPr>
        <w:t>6.2.3.18. Барлық оқиғаларды логтау.</w:t>
      </w:r>
    </w:p>
    <w:p w14:paraId="68D6DB59">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 xml:space="preserve"> </w:t>
      </w:r>
    </w:p>
    <w:p w14:paraId="5DD9EE88">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7. Поставщик пен Тапсырыс берушіге қойылатын талаптар</w:t>
      </w:r>
    </w:p>
    <w:p w14:paraId="51E46241">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7.1. Поставщик құрылғыларды орнатуды, қосуды және баптауды қамтамасыз етеді.</w:t>
      </w:r>
    </w:p>
    <w:p w14:paraId="705C5FB4">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7.2. Поставщик барлық деңгейде Тапсырыс берушінің ақпаратын сақтауды және оның құпиялылығын қамтамасыз етуге міндетті.</w:t>
      </w:r>
    </w:p>
    <w:p w14:paraId="5C9876A1">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7.3. Шарт жасалғаннан кейін Поставщик 2026 жылғы 31 желтоқсанға дейін қолданыстағы байланыс арнасында жабық байланыс арнасын баптайды, ведомстволық IP-мекенжайға маршрутизациялауды жүзеге асырады. Сондай-ақ Поставщикке ПД ЖБО аппараттық-бағдарламалық кешенінің серверімен интеграциялау үшін уақытша логиндер мен құпиясөздер беріледі.</w:t>
      </w:r>
    </w:p>
    <w:p w14:paraId="06E7F430">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7.4. Поставщик құрылғылардың жұмысқа қабілеттілігін күнделікті мониторингтеуді, бағдарламалық қамтамасыз етудің тұрақты жұмысын қамтамасыз етуге міндетті және ақау анықталған немесе Тапсырыс берушіден (ауызша немесе жазбаша түрде) хабарлама түскен жағдайда, 24 сағат ішінде ақаудың себебін анықтап, оны жою бойынша толық шаралар қабылдауы тиіс. Бұл талап 2026 жылғы 31 желтоқсанға дейін қолданылады.</w:t>
      </w:r>
    </w:p>
    <w:p w14:paraId="01A6F655">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7.5. Поставщик жалпы серверлер мен Түркістан облысы ПД ЖБО арасындағы байланыс арнасының жұмысқа қабілеттілігін, сондай-ақ объектілер мен Шымкент қаласы ПД ЖБО-дағы құрылғылардың, бағдарламалық қамтамасыз етудің және интеграциялардың үздіксіз жұмысын қамтамасыз етуге міндетті.</w:t>
      </w:r>
    </w:p>
    <w:p w14:paraId="5AA8AB3C">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7.6. Тапсырыс беруші барлық құрылғылар үшін 220 Вольт, 50 Герц электрмен жабдықтау нүктесін ұсынады.</w:t>
      </w:r>
    </w:p>
    <w:p w14:paraId="2B7A04B3">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7.7. Тапсырыс беруші интернет желісіне Бірыңғай Интернетке Қол жеткізу Шлюзі (ЕШДИ) арқылы ашық қолжетімділікті қамтамасыз етеді.</w:t>
      </w:r>
    </w:p>
    <w:p w14:paraId="0FB356F4">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7.8. Поставщик шартқа қол қойылған сәттен бастап 2026 жылдың соңына дейін құрылғыларға сервистік қызмет көрсетуді жүзеге асыруға міндетті.</w:t>
      </w:r>
    </w:p>
    <w:p w14:paraId="3C09A811">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Сервистік сүйемелдеу құрамына мыналар кіреді:</w:t>
      </w:r>
    </w:p>
    <w:p w14:paraId="1C39D58D">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7.8.1. Барлық түймелерді мониторингтеу: қашықтан бағдарламалық қамтамасыз ету арқылы желі күйі, түйменің жұмысқа қабілеттілігі, серверлер мен барлық тізбектегі қосылымдардың жұмысқа қабілеттілігі;</w:t>
      </w:r>
    </w:p>
    <w:p w14:paraId="777933FA">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7.8.2. Дабыл сигнализациясына орнатылған бағдарламалық қамтамасыз етуді қолдау;</w:t>
      </w:r>
    </w:p>
    <w:p w14:paraId="5B3FC300">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7.8.3. IPsec протоколы бойынша VPN арнасы арқылы ЖБО мен соңғы құрылғы арасындағы байланыс арнасының жұмысқа қабілеттілігін қамтамасыз ету, ол IP-пакеттердің түпнұсқалығын растауды, тұтастығын тексеруді және/немесе шифрлауды жүзеге асыруы тиіс;</w:t>
      </w:r>
    </w:p>
    <w:p w14:paraId="6AE1440B">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7.8.4. Қуат блоктарындағы қосқыштардың тартылуын тексеру;</w:t>
      </w:r>
    </w:p>
    <w:p w14:paraId="5A2C9AEE">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7.8.5. Қуат блоктарының шығыс параметрлерін тексеру және реттеу; дыбыс сапасын тексеру үшін динамиктерді диагностикалау; оператор станцияларынан дабыл түймесіне тестілік сигнал жіберу арқылы бағдарламаның және операторлармен байланыс тораптарының дұрыс жұмысын тексеру;</w:t>
      </w:r>
    </w:p>
    <w:p w14:paraId="008BF953">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7.8.6. Сервистік қызмет көрсету барысында Поставщик үшінші тұлғалардың физикалық әсерінен басқа барлық анықталған ақауларды өз қаражаты есебінен жояды;</w:t>
      </w:r>
    </w:p>
    <w:p w14:paraId="16AB8C3E">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7.8.7. Объектілердің ерекше маңыздылығына байланысты Поставщик келесі талаптарға сай мамандарға ие болуы тиіс:</w:t>
      </w:r>
    </w:p>
    <w:p w14:paraId="1EF94902">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7.8.7.1. Электр қондырғыларында жұмыс істеуге кемінде 4 деңгейлі рұқсаты бар кемінде 2 (екі) маман. Әр маман бойынша растайтын құжаттың (куәлік) электрондық көшірмесі өтінімге қоса берілуі тиіс;</w:t>
      </w:r>
    </w:p>
    <w:p w14:paraId="4E46E453">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 xml:space="preserve">7.8.7.2. Орнатылған </w:t>
      </w:r>
      <w:r>
        <w:rPr>
          <w:rFonts w:ascii="Times New Roman" w:hAnsi="Times New Roman" w:eastAsia="Arial" w:cs="Times New Roman"/>
          <w:sz w:val="24"/>
          <w:szCs w:val="24"/>
          <w:lang w:val="kk-KZ" w:eastAsia="ru-RU"/>
        </w:rPr>
        <w:t>«</w:t>
      </w:r>
      <w:r>
        <w:rPr>
          <w:rFonts w:ascii="Times New Roman" w:hAnsi="Times New Roman" w:eastAsia="Arial" w:cs="Times New Roman"/>
          <w:sz w:val="24"/>
          <w:szCs w:val="24"/>
          <w:lang w:eastAsia="ru-RU"/>
        </w:rPr>
        <w:t xml:space="preserve"> iD</w:t>
      </w:r>
      <w:r>
        <w:rPr>
          <w:rFonts w:ascii="Times New Roman" w:hAnsi="Times New Roman" w:eastAsia="Arial" w:cs="Times New Roman"/>
          <w:sz w:val="24"/>
          <w:szCs w:val="24"/>
          <w:lang w:val="kk-KZ" w:eastAsia="ru-RU"/>
        </w:rPr>
        <w:t>І</w:t>
      </w:r>
      <w:r>
        <w:rPr>
          <w:rFonts w:hint="default" w:ascii="Times New Roman" w:hAnsi="Times New Roman" w:eastAsia="Arial" w:cs="Times New Roman"/>
          <w:sz w:val="24"/>
          <w:szCs w:val="24"/>
          <w:lang w:val="kk-KZ" w:eastAsia="ru-RU"/>
        </w:rPr>
        <w:t xml:space="preserve"> МЕКТЕП</w:t>
      </w:r>
      <w:r>
        <w:rPr>
          <w:rFonts w:ascii="Times New Roman" w:hAnsi="Times New Roman" w:eastAsia="Arial" w:cs="Times New Roman"/>
          <w:sz w:val="24"/>
          <w:szCs w:val="24"/>
          <w:lang w:eastAsia="ru-RU"/>
        </w:rPr>
        <w:t>» дабыл сигнализациясы жабдығын сервистік қызмет көрсету, монтаждау және іске қосу-баптау бойынша өндіруші компаниядан (өндірушінің өкілі немесе ресми дистрибьюторы) оқудан өткен кемінде 4 (төрт) сертификатталған маман. Әр маман бойынша сертификаттың электрондық көшірмесі өтінімге қоса берілуі тиіс.</w:t>
      </w:r>
    </w:p>
    <w:p w14:paraId="11F8C078">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7.9. Орнатылған құрылғыларды кейіннен қайта орнату тараптардың жазбаша келісімімен ғана жүзеге асырылады, қайта орнатуға арналған қосымша қызметтер осы шартта көзделмеген.</w:t>
      </w:r>
    </w:p>
    <w:p w14:paraId="62CD7F98">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8. Мекенжайлық бағдарлама</w:t>
      </w:r>
    </w:p>
    <w:p w14:paraId="425D19BE">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8.1. Түркістан қаласының мемлекеттік білім беру ұйымдарына дабыл түймелеріне сервистік қызмет көрсету үшін арналған ұйымдар тізбесі (№1 кесте).</w:t>
      </w:r>
    </w:p>
    <w:p w14:paraId="4F84579C">
      <w:pPr>
        <w:suppressAutoHyphens/>
        <w:spacing w:before="100" w:beforeAutospacing="1"/>
        <w:contextualSpacing/>
        <w:rPr>
          <w:rFonts w:ascii="Times New Roman" w:hAnsi="Times New Roman" w:eastAsia="Arial" w:cs="Times New Roman"/>
          <w:sz w:val="24"/>
          <w:szCs w:val="24"/>
          <w:lang w:eastAsia="ru-RU"/>
        </w:rPr>
      </w:pPr>
      <w:r>
        <w:rPr>
          <w:rFonts w:ascii="Times New Roman" w:hAnsi="Times New Roman" w:eastAsia="Arial" w:cs="Times New Roman"/>
          <w:sz w:val="24"/>
          <w:szCs w:val="24"/>
          <w:lang w:eastAsia="ru-RU"/>
        </w:rPr>
        <w:t xml:space="preserve"> </w:t>
      </w:r>
    </w:p>
    <w:p w14:paraId="7C125871">
      <w:pPr>
        <w:contextualSpacing/>
      </w:pPr>
    </w:p>
    <w:sectPr>
      <w:pgSz w:w="11906" w:h="16838"/>
      <w:pgMar w:top="709" w:right="850" w:bottom="1134" w:left="567"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documentProtection w:enforcement="0"/>
  <w:defaultTabStop w:val="708"/>
  <w:characterSpacingControl w:val="doNotCompress"/>
  <w:footnotePr>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4F30"/>
    <w:rsid w:val="00504F30"/>
    <w:rsid w:val="00D56095"/>
    <w:rsid w:val="13CD5A9D"/>
    <w:rsid w:val="13E17E2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atentStyles>
  <w:style w:type="paragraph" w:default="1" w:styleId="1">
    <w:name w:val="Normal"/>
    <w:qFormat/>
    <w:uiPriority w:val="0"/>
    <w:pPr>
      <w:spacing w:after="100" w:afterAutospacing="1"/>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Home</Company>
  <Pages>5</Pages>
  <Words>1984</Words>
  <Characters>13853</Characters>
  <Lines>113</Lines>
  <Paragraphs>31</Paragraphs>
  <TotalTime>7</TotalTime>
  <ScaleCrop>false</ScaleCrop>
  <LinksUpToDate>false</LinksUpToDate>
  <CharactersWithSpaces>15701</CharactersWithSpaces>
  <Application>WPS Office_12.1.0.25242_F1E327BC-269C-435d-A152-05C5408002CA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2026-01-17T07:41:00Z</dcterms:created>
  <dc:creator>User</dc:creator>
  <cp:lastModifiedBy>Moldir Moldir</cp:lastModifiedBy>
  <dcterms:modified xsi:type="dcterms:W3CDTF">2026-03-26T16:05:49Z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eyJoZGlkIjoiZDUwOTE0YWQ4MTQ0OWVlZGZkYWNiZDY5NjUzMjkyMjYiLCJ1c2VySWQiOiI4ODEzNzU5MjM4MTIxIn0=</vt:lpwstr>
  </property>
  <property fmtid="{D5CDD505-2E9C-101B-9397-08002B2CF9AE}" pid="3" name="KSOProductBuildVer">
    <vt:lpwstr>1049-12.1.0.25242</vt:lpwstr>
  </property>
  <property fmtid="{D5CDD505-2E9C-101B-9397-08002B2CF9AE}" pid="4" name="ICV">
    <vt:lpwstr>8E49DA2AF7724CD7BF2F73A6DEE33696_12</vt:lpwstr>
  </property>
</Properties>
</file>