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AB089C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                   Приложение 1                                                                                                                                                       </w:t>
      </w:r>
    </w:p>
    <w:p w14:paraId="4F760EA7">
      <w:pPr>
        <w:jc w:val="right"/>
        <w:rPr>
          <w:b/>
          <w:sz w:val="28"/>
          <w:szCs w:val="28"/>
          <w:lang w:val="kk-KZ"/>
        </w:rPr>
      </w:pPr>
    </w:p>
    <w:p w14:paraId="7F1D0F88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Техническая спецификация </w:t>
      </w:r>
    </w:p>
    <w:p w14:paraId="18E9BFB5">
      <w:pPr>
        <w:jc w:val="center"/>
        <w:rPr>
          <w:b/>
          <w:sz w:val="28"/>
          <w:szCs w:val="28"/>
          <w:lang w:val="kk-KZ"/>
        </w:rPr>
      </w:pPr>
    </w:p>
    <w:p w14:paraId="5A6C3A6D">
      <w:pPr>
        <w:jc w:val="both"/>
        <w:outlineLvl w:val="0"/>
        <w:rPr>
          <w:b/>
          <w:bCs/>
          <w:kern w:val="36"/>
          <w:sz w:val="28"/>
          <w:szCs w:val="28"/>
        </w:rPr>
      </w:pPr>
      <w:r>
        <w:rPr>
          <w:sz w:val="28"/>
          <w:szCs w:val="28"/>
          <w:lang w:val="kk-KZ"/>
        </w:rPr>
        <w:t xml:space="preserve">    </w:t>
      </w:r>
      <w:r>
        <w:rPr>
          <w:sz w:val="28"/>
          <w:szCs w:val="28"/>
          <w:lang w:val="kk-KZ"/>
        </w:rPr>
        <w:tab/>
      </w:r>
      <w:r>
        <w:rPr>
          <w:sz w:val="28"/>
          <w:szCs w:val="28"/>
          <w:lang w:val="kk-KZ"/>
        </w:rPr>
        <w:t xml:space="preserve">Курсы повышения квалификации социальных работников </w:t>
      </w:r>
      <w:r>
        <w:rPr>
          <w:sz w:val="28"/>
          <w:szCs w:val="28"/>
        </w:rPr>
        <w:t xml:space="preserve">и специалистов, работающих в системе социальной защиты </w:t>
      </w:r>
      <w:r>
        <w:rPr>
          <w:sz w:val="28"/>
          <w:szCs w:val="28"/>
          <w:highlight w:val="none"/>
        </w:rPr>
        <w:t xml:space="preserve">Северо-Казахстанской области, </w:t>
      </w:r>
      <w:r>
        <w:rPr>
          <w:sz w:val="28"/>
          <w:szCs w:val="28"/>
          <w:highlight w:val="none"/>
          <w:lang w:val="ru-RU"/>
        </w:rPr>
        <w:t>Аккайынского</w:t>
      </w:r>
      <w:r>
        <w:rPr>
          <w:rFonts w:hint="default"/>
          <w:sz w:val="28"/>
          <w:szCs w:val="28"/>
          <w:highlight w:val="none"/>
          <w:lang w:val="ru-RU"/>
        </w:rPr>
        <w:t xml:space="preserve"> </w:t>
      </w:r>
      <w:r>
        <w:rPr>
          <w:sz w:val="28"/>
          <w:szCs w:val="28"/>
          <w:highlight w:val="none"/>
        </w:rPr>
        <w:t>района</w:t>
      </w:r>
      <w:r>
        <w:rPr>
          <w:sz w:val="28"/>
          <w:szCs w:val="28"/>
          <w:highlight w:val="none"/>
          <w:lang w:val="kk-KZ"/>
        </w:rPr>
        <w:t xml:space="preserve"> (</w:t>
      </w:r>
      <w:r>
        <w:rPr>
          <w:rFonts w:hint="default"/>
          <w:sz w:val="28"/>
          <w:szCs w:val="28"/>
          <w:highlight w:val="none"/>
          <w:lang w:val="ru-RU"/>
        </w:rPr>
        <w:t>10</w:t>
      </w:r>
      <w:r>
        <w:rPr>
          <w:sz w:val="28"/>
          <w:szCs w:val="28"/>
          <w:highlight w:val="none"/>
          <w:lang w:val="kk-KZ"/>
        </w:rPr>
        <w:t xml:space="preserve"> человек)</w:t>
      </w:r>
      <w:r>
        <w:rPr>
          <w:sz w:val="28"/>
          <w:szCs w:val="28"/>
          <w:lang w:val="kk-KZ"/>
        </w:rPr>
        <w:t xml:space="preserve"> с дистанционной формой обучения</w:t>
      </w:r>
      <w:r>
        <w:rPr>
          <w:kern w:val="36"/>
          <w:sz w:val="28"/>
          <w:szCs w:val="28"/>
        </w:rPr>
        <w:t xml:space="preserve"> на тему: </w:t>
      </w:r>
      <w:r>
        <w:rPr>
          <w:b/>
          <w:bCs/>
          <w:kern w:val="36"/>
          <w:sz w:val="28"/>
          <w:szCs w:val="28"/>
        </w:rPr>
        <w:t>«Концептуальные подходы к социальной работе в условиях реформирования законодательства в сфере социальной защиты»</w:t>
      </w:r>
    </w:p>
    <w:p w14:paraId="050A3FDE">
      <w:pPr>
        <w:jc w:val="both"/>
        <w:outlineLvl w:val="0"/>
        <w:rPr>
          <w:kern w:val="36"/>
          <w:sz w:val="28"/>
          <w:szCs w:val="28"/>
        </w:rPr>
      </w:pPr>
    </w:p>
    <w:p w14:paraId="7540DA12">
      <w:pPr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 обучения:</w:t>
      </w:r>
    </w:p>
    <w:p w14:paraId="53FAEE1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Профессиональная подготовка специалистов в области социальной работы </w:t>
      </w:r>
    </w:p>
    <w:p w14:paraId="5C8D6E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Задача:  </w:t>
      </w:r>
    </w:p>
    <w:p w14:paraId="38D62063">
      <w:pPr>
        <w:pStyle w:val="10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Повысить уровень теоретических знаний работников   социальной сферы;</w:t>
      </w:r>
    </w:p>
    <w:p w14:paraId="09A54CA9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 расширение профессиональных компетенций, необходимых для выполнения профессиональных задач и практической деятельности социальных работников.</w:t>
      </w:r>
    </w:p>
    <w:p w14:paraId="257AA8F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Объем </w:t>
      </w:r>
      <w:r>
        <w:rPr>
          <w:sz w:val="28"/>
          <w:szCs w:val="28"/>
        </w:rPr>
        <w:t xml:space="preserve">– 72 часа  </w:t>
      </w:r>
    </w:p>
    <w:tbl>
      <w:tblPr>
        <w:tblStyle w:val="6"/>
        <w:tblW w:w="988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8593"/>
      </w:tblGrid>
      <w:tr w14:paraId="1DC30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6DAFEC35">
            <w:pPr>
              <w:ind w:left="360"/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1105921C">
            <w:pPr>
              <w:jc w:val="center"/>
              <w:rPr>
                <w:rFonts w:ascii="KZ Times New Roman" w:hAnsi="KZ Times New Roman"/>
                <w:b/>
                <w:bCs/>
                <w:sz w:val="28"/>
                <w:szCs w:val="28"/>
              </w:rPr>
            </w:pPr>
            <w:r>
              <w:rPr>
                <w:rFonts w:ascii="KZ Times New Roman" w:hAnsi="KZ Times New Roman"/>
                <w:b/>
                <w:bCs/>
                <w:sz w:val="28"/>
                <w:szCs w:val="28"/>
              </w:rPr>
              <w:t xml:space="preserve">Наименование тем </w:t>
            </w:r>
          </w:p>
        </w:tc>
      </w:tr>
      <w:tr w14:paraId="43268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5D44E463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36FA80A8">
            <w:pPr>
              <w:jc w:val="both"/>
              <w:rPr>
                <w:bCs/>
                <w:kern w:val="36"/>
                <w:sz w:val="28"/>
                <w:szCs w:val="28"/>
                <w:lang w:val="kk-KZ"/>
              </w:rPr>
            </w:pPr>
            <w:r>
              <w:rPr>
                <w:rFonts w:ascii="KZ Times New Roman" w:hAnsi="KZ Times New Roman"/>
                <w:sz w:val="28"/>
                <w:szCs w:val="28"/>
              </w:rPr>
              <w:t>Социальная работа как специфический вид профессиональной деятельности</w:t>
            </w:r>
          </w:p>
        </w:tc>
      </w:tr>
      <w:tr w14:paraId="683E7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38F9C035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604F961B">
            <w:pPr>
              <w:jc w:val="both"/>
              <w:rPr>
                <w:bCs/>
                <w:kern w:val="36"/>
                <w:sz w:val="28"/>
                <w:szCs w:val="28"/>
                <w:lang w:val="kk-KZ"/>
              </w:rPr>
            </w:pPr>
            <w:r>
              <w:rPr>
                <w:bCs/>
                <w:sz w:val="28"/>
                <w:szCs w:val="28"/>
              </w:rPr>
              <w:t>Цели, задачи и направления</w:t>
            </w:r>
            <w:r>
              <w:rPr>
                <w:sz w:val="28"/>
                <w:szCs w:val="28"/>
              </w:rPr>
              <w:t xml:space="preserve"> социальной работы. </w:t>
            </w:r>
          </w:p>
        </w:tc>
      </w:tr>
      <w:tr w14:paraId="3F973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3F5048A5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05FFC0E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Объекты </w:t>
            </w:r>
            <w:r>
              <w:rPr>
                <w:bCs/>
                <w:sz w:val="28"/>
                <w:szCs w:val="28"/>
                <w:lang w:val="kk-KZ"/>
              </w:rPr>
              <w:t xml:space="preserve">и сферы </w:t>
            </w:r>
            <w:r>
              <w:rPr>
                <w:bCs/>
                <w:sz w:val="28"/>
                <w:szCs w:val="28"/>
              </w:rPr>
              <w:t>профессиональной деятельности 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14:paraId="4A634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262DC579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44FD744B">
            <w:pPr>
              <w:jc w:val="both"/>
              <w:outlineLvl w:val="0"/>
              <w:rPr>
                <w:rFonts w:ascii="KZ Times New Roman" w:hAnsi="KZ Times New Roman"/>
                <w:bCs/>
                <w:kern w:val="36"/>
                <w:sz w:val="28"/>
                <w:szCs w:val="28"/>
              </w:rPr>
            </w:pPr>
            <w:r>
              <w:rPr>
                <w:rFonts w:ascii="KZ Times New Roman" w:hAnsi="KZ Times New Roman"/>
                <w:bCs/>
                <w:sz w:val="28"/>
                <w:szCs w:val="28"/>
              </w:rPr>
              <w:t>Формирование профессиональных навыков (компетенций) при оказании государственных услуг. Повышение качества оказания государственных услуг.</w:t>
            </w:r>
          </w:p>
        </w:tc>
      </w:tr>
      <w:tr w14:paraId="1F073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5E1D72CC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2AC9E948">
            <w:pPr>
              <w:jc w:val="both"/>
              <w:rPr>
                <w:rStyle w:val="4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Совершенствование и развитие действующего законодательства в сфере социальной защиты</w:t>
            </w:r>
          </w:p>
        </w:tc>
      </w:tr>
      <w:tr w14:paraId="7229C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7385A774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697615A8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Социальный Кодекс: принципы реализации новелл и социально-экономические последствия </w:t>
            </w:r>
            <w:r>
              <w:rPr>
                <w:rFonts w:eastAsiaTheme="minorEastAsia"/>
                <w:bCs/>
                <w:shadow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14:paraId="366F5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4894A893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0A13D8C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kk-KZ"/>
              </w:rPr>
              <w:t xml:space="preserve">Профессиональный стандарт </w:t>
            </w:r>
            <w:r>
              <w:rPr>
                <w:bCs/>
                <w:sz w:val="28"/>
                <w:szCs w:val="28"/>
              </w:rPr>
              <w:t>Социальная работа и другие профессии социальной сферы»</w:t>
            </w:r>
          </w:p>
        </w:tc>
      </w:tr>
      <w:tr w14:paraId="41F49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6968749B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674E4D33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Законодательное укрепление статуса социального работника. Этика и деонтология.</w:t>
            </w:r>
          </w:p>
        </w:tc>
      </w:tr>
      <w:tr w14:paraId="5E13D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5F56EBFC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24A80D52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Экономические основы социальной работы</w:t>
            </w:r>
          </w:p>
        </w:tc>
      </w:tr>
      <w:tr w14:paraId="03E35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3A1548E5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5D9A4F5C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Методы и технологии работы с различными категориями, нуждающимися в специальных социальных услугах</w:t>
            </w:r>
          </w:p>
        </w:tc>
      </w:tr>
      <w:tr w14:paraId="02F11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42CA6183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690BC0D2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Медико-социальные основы профессиональной деятельности социальной работы</w:t>
            </w:r>
          </w:p>
        </w:tc>
      </w:tr>
      <w:tr w14:paraId="15387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7611E4FE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278ADC76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Социальные стандарты и мониторинг</w:t>
            </w:r>
          </w:p>
        </w:tc>
      </w:tr>
      <w:tr w14:paraId="397C6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319D1888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72C2E29C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Прогнозирование и проектирование в социальной работе</w:t>
            </w:r>
          </w:p>
        </w:tc>
      </w:tr>
      <w:tr w14:paraId="71407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746C389C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76C4A6D0">
            <w:pPr>
              <w:pStyle w:val="5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Социальная абилитация, адаптация и реабилитация как одни из важнейших социальных услуг в сфере социальной защиты населения</w:t>
            </w:r>
          </w:p>
        </w:tc>
      </w:tr>
      <w:tr w14:paraId="00C88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51A324EA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7ACC0AD5">
            <w:pPr>
              <w:pStyle w:val="5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Социальная диагностика – инструмент получения и сбора первичной информации в социальной работе: методы и приемы</w:t>
            </w:r>
          </w:p>
        </w:tc>
      </w:tr>
      <w:tr w14:paraId="151C2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280F08E9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63D59E06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</w:t>
            </w:r>
            <w:r>
              <w:rPr>
                <w:sz w:val="28"/>
                <w:szCs w:val="28"/>
                <w:lang w:val="kk-KZ"/>
              </w:rPr>
              <w:t xml:space="preserve">и </w:t>
            </w:r>
            <w:r>
              <w:rPr>
                <w:sz w:val="28"/>
                <w:szCs w:val="28"/>
              </w:rPr>
              <w:t>социальной работы с клиентами: беседа, оценочный анализ, ведение записей</w:t>
            </w:r>
          </w:p>
        </w:tc>
      </w:tr>
      <w:tr w14:paraId="79CEF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96" w:type="dxa"/>
          </w:tcPr>
          <w:p w14:paraId="7417ED85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54FFF10A"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Коммуникативная деятельность социального работника и специалистов социальной сферы. </w:t>
            </w:r>
            <w:r>
              <w:rPr>
                <w:bCs/>
                <w:sz w:val="28"/>
                <w:szCs w:val="28"/>
                <w:lang w:val="kk-KZ"/>
              </w:rPr>
              <w:t>Профилактика эмоционального выгорания.</w:t>
            </w:r>
          </w:p>
        </w:tc>
      </w:tr>
      <w:tr w14:paraId="7256A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296" w:type="dxa"/>
          </w:tcPr>
          <w:p w14:paraId="13216DF9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0484B66A">
            <w:pPr>
              <w:jc w:val="both"/>
              <w:rPr>
                <w:b/>
                <w:bCs/>
                <w:kern w:val="36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Психологические основы социальной работы </w:t>
            </w:r>
          </w:p>
        </w:tc>
      </w:tr>
      <w:tr w14:paraId="76BD8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00A5DA5B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75B68948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Социальная геронтология</w:t>
            </w:r>
          </w:p>
        </w:tc>
      </w:tr>
      <w:tr w14:paraId="718FE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5EEA13E2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5509BC76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Конфликтология в социальной работе</w:t>
            </w:r>
          </w:p>
        </w:tc>
      </w:tr>
      <w:tr w14:paraId="0E505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296" w:type="dxa"/>
          </w:tcPr>
          <w:p w14:paraId="37E83E05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63A00E45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Образовательные траектории (Траектория «Социальная работа с детьми социального риска и их семьями», Траектория «Социальная работа с пожилыми людьми и их семьями» «Социальная работа с инвалидами»)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14:paraId="3F5C0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1296" w:type="dxa"/>
          </w:tcPr>
          <w:p w14:paraId="3C747926">
            <w:pPr>
              <w:pStyle w:val="10"/>
              <w:numPr>
                <w:ilvl w:val="0"/>
                <w:numId w:val="3"/>
              </w:num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5B586AD7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4"/>
                <w:b w:val="0"/>
                <w:bCs w:val="0"/>
                <w:sz w:val="28"/>
                <w:szCs w:val="28"/>
                <w:shd w:val="clear" w:color="auto" w:fill="FFFFFF"/>
              </w:rPr>
              <w:t>Искусственный интеллект в социальной работе: возможности и вызовы</w:t>
            </w:r>
          </w:p>
          <w:p w14:paraId="6A07913F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</w:tc>
      </w:tr>
      <w:tr w14:paraId="69203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6" w:type="dxa"/>
          </w:tcPr>
          <w:p w14:paraId="47A87BD1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8593" w:type="dxa"/>
          </w:tcPr>
          <w:p w14:paraId="25A2E807">
            <w:pPr>
              <w:jc w:val="both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Итоговый срез знаний в форме тестирования. </w:t>
            </w:r>
          </w:p>
          <w:p w14:paraId="75AC2BFB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</w:tbl>
    <w:p w14:paraId="14941579">
      <w:pPr>
        <w:numPr>
          <w:ilvl w:val="0"/>
          <w:numId w:val="4"/>
        </w:num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Поставщик должен иметь сертификат о прохождении аккредитации по образовательной программе «Социальная работа»;</w:t>
      </w:r>
    </w:p>
    <w:p w14:paraId="10086CC5">
      <w:pPr>
        <w:numPr>
          <w:ilvl w:val="0"/>
          <w:numId w:val="4"/>
        </w:num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началом занятий Поставщик обязуется составить расписание проведения занятий с указанием темы, даты и время проведения, данных лекторов, ссылки на платформу </w:t>
      </w:r>
      <w:r>
        <w:rPr>
          <w:sz w:val="28"/>
          <w:szCs w:val="28"/>
          <w:lang w:val="en-US"/>
        </w:rPr>
        <w:t>ZOOM</w:t>
      </w:r>
      <w:r>
        <w:rPr>
          <w:sz w:val="28"/>
          <w:szCs w:val="28"/>
        </w:rPr>
        <w:t xml:space="preserve"> и согласованием с Заказчиком;</w:t>
      </w:r>
    </w:p>
    <w:p w14:paraId="2E4182AE">
      <w:pPr>
        <w:numPr>
          <w:ilvl w:val="0"/>
          <w:numId w:val="4"/>
        </w:num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Поставщик должен обеспечить слушателям доступ к учебным материалам, литературе, интерактивным слайдам и обучающему видео;</w:t>
      </w:r>
    </w:p>
    <w:p w14:paraId="223F2122">
      <w:pPr>
        <w:numPr>
          <w:ilvl w:val="0"/>
          <w:numId w:val="4"/>
        </w:num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Контрольно- измерительный материал должен соответствовать данному в процессе обучения объему знаний</w:t>
      </w:r>
    </w:p>
    <w:p w14:paraId="6AE6D99C">
      <w:pPr>
        <w:spacing w:line="228" w:lineRule="auto"/>
        <w:ind w:firstLine="708"/>
        <w:jc w:val="both"/>
        <w:rPr>
          <w:sz w:val="28"/>
          <w:szCs w:val="28"/>
        </w:rPr>
      </w:pPr>
    </w:p>
    <w:p w14:paraId="353721B8">
      <w:pPr>
        <w:spacing w:line="228" w:lineRule="auto"/>
        <w:ind w:firstLine="708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Требования к лекторам: </w:t>
      </w:r>
    </w:p>
    <w:p w14:paraId="1F1566FD">
      <w:pPr>
        <w:spacing w:line="22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магистры наук по специальности социальная работа, стаж преподавательской деятельности не менее 5-ти лет.</w:t>
      </w:r>
    </w:p>
    <w:p w14:paraId="131CB4E8">
      <w:pPr>
        <w:rPr>
          <w:rFonts w:eastAsiaTheme="minorHAnsi"/>
          <w:sz w:val="28"/>
          <w:szCs w:val="28"/>
          <w:lang w:val="kk-KZ" w:eastAsia="en-US"/>
        </w:rPr>
      </w:pPr>
    </w:p>
    <w:p w14:paraId="4F54D636">
      <w:pPr>
        <w:rPr>
          <w:rFonts w:eastAsiaTheme="minorHAnsi"/>
          <w:b/>
          <w:bCs/>
          <w:i/>
          <w:iCs/>
          <w:sz w:val="28"/>
          <w:szCs w:val="28"/>
          <w:lang w:val="kk-KZ" w:eastAsia="en-US"/>
        </w:rPr>
      </w:pPr>
      <w:r>
        <w:rPr>
          <w:rFonts w:eastAsiaTheme="minorHAnsi"/>
          <w:sz w:val="28"/>
          <w:szCs w:val="28"/>
          <w:lang w:val="kk-KZ" w:eastAsia="en-US"/>
        </w:rPr>
        <w:t xml:space="preserve">Срок оказания услуги: </w:t>
      </w:r>
      <w:r>
        <w:rPr>
          <w:rFonts w:eastAsiaTheme="minorHAnsi"/>
          <w:b/>
          <w:bCs/>
          <w:i/>
          <w:iCs/>
          <w:sz w:val="28"/>
          <w:szCs w:val="28"/>
          <w:lang w:val="ru-RU" w:eastAsia="en-US"/>
        </w:rPr>
        <w:t>октябрь</w:t>
      </w:r>
      <w:r>
        <w:rPr>
          <w:rFonts w:hint="default" w:eastAsiaTheme="minorHAnsi"/>
          <w:b/>
          <w:bCs/>
          <w:i/>
          <w:iCs/>
          <w:sz w:val="28"/>
          <w:szCs w:val="28"/>
          <w:lang w:val="ru-RU" w:eastAsia="en-US"/>
        </w:rPr>
        <w:t>-ноябрь</w:t>
      </w:r>
      <w:bookmarkStart w:id="0" w:name="_GoBack"/>
      <w:bookmarkEnd w:id="0"/>
      <w:r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i/>
          <w:iCs/>
          <w:sz w:val="28"/>
          <w:szCs w:val="28"/>
          <w:lang w:val="kk-KZ" w:eastAsia="en-US"/>
        </w:rPr>
        <w:t xml:space="preserve"> 2026г.</w:t>
      </w:r>
    </w:p>
    <w:p w14:paraId="2516B649">
      <w:pPr>
        <w:rPr>
          <w:rFonts w:eastAsiaTheme="minorHAnsi"/>
          <w:sz w:val="28"/>
          <w:szCs w:val="28"/>
          <w:lang w:eastAsia="en-US"/>
        </w:rPr>
      </w:pPr>
    </w:p>
    <w:p w14:paraId="735BE762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итогам семинара поставщик обязан выдать социальным работникам сертификат о повышении квалификации социальных работников, установленного образца.</w:t>
      </w:r>
    </w:p>
    <w:p w14:paraId="27C884C7">
      <w:pPr>
        <w:rPr>
          <w:sz w:val="28"/>
          <w:szCs w:val="28"/>
          <w:lang w:val="kk-KZ"/>
        </w:rPr>
      </w:pPr>
    </w:p>
    <w:p w14:paraId="529A889B">
      <w:pPr>
        <w:rPr>
          <w:sz w:val="28"/>
          <w:szCs w:val="28"/>
          <w:lang w:val="kk-KZ"/>
        </w:rPr>
      </w:pPr>
    </w:p>
    <w:sectPr>
      <w:pgSz w:w="11906" w:h="16838"/>
      <w:pgMar w:top="1134" w:right="851" w:bottom="568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DejaVuSerifCondense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KZ Times New Roman">
    <w:altName w:val="Cambria"/>
    <w:panose1 w:val="00000000000000000000"/>
    <w:charset w:val="CC"/>
    <w:family w:val="roman"/>
    <w:pitch w:val="default"/>
    <w:sig w:usb0="00000000" w:usb1="00000000" w:usb2="00000000" w:usb3="00000000" w:csb0="0000009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74D58"/>
    <w:multiLevelType w:val="multilevel"/>
    <w:tmpl w:val="05C74D58"/>
    <w:lvl w:ilvl="0" w:tentative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</w:rPr>
    </w:lvl>
  </w:abstractNum>
  <w:abstractNum w:abstractNumId="1">
    <w:nsid w:val="0FBA7470"/>
    <w:multiLevelType w:val="multilevel"/>
    <w:tmpl w:val="0FBA747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26D57"/>
    <w:multiLevelType w:val="multilevel"/>
    <w:tmpl w:val="54726D5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EE85792"/>
    <w:multiLevelType w:val="multilevel"/>
    <w:tmpl w:val="7EE857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37DB7"/>
    <w:rsid w:val="00071F7A"/>
    <w:rsid w:val="00085BC0"/>
    <w:rsid w:val="000C5410"/>
    <w:rsid w:val="001455ED"/>
    <w:rsid w:val="001471DB"/>
    <w:rsid w:val="00174885"/>
    <w:rsid w:val="001767D4"/>
    <w:rsid w:val="001B0151"/>
    <w:rsid w:val="001E5247"/>
    <w:rsid w:val="001F306E"/>
    <w:rsid w:val="002B19A2"/>
    <w:rsid w:val="002C63D8"/>
    <w:rsid w:val="00341725"/>
    <w:rsid w:val="003C02AE"/>
    <w:rsid w:val="003D7C4E"/>
    <w:rsid w:val="004231F0"/>
    <w:rsid w:val="00435EF7"/>
    <w:rsid w:val="00445A72"/>
    <w:rsid w:val="00471494"/>
    <w:rsid w:val="004A61BA"/>
    <w:rsid w:val="004C4182"/>
    <w:rsid w:val="00521678"/>
    <w:rsid w:val="005722D0"/>
    <w:rsid w:val="00597747"/>
    <w:rsid w:val="005A0E25"/>
    <w:rsid w:val="005C1224"/>
    <w:rsid w:val="005D3A37"/>
    <w:rsid w:val="006578FC"/>
    <w:rsid w:val="006D22E4"/>
    <w:rsid w:val="007022A5"/>
    <w:rsid w:val="007613F6"/>
    <w:rsid w:val="00772E09"/>
    <w:rsid w:val="007F3E0A"/>
    <w:rsid w:val="00801828"/>
    <w:rsid w:val="00846DD5"/>
    <w:rsid w:val="008671D8"/>
    <w:rsid w:val="008B3624"/>
    <w:rsid w:val="008F1B3B"/>
    <w:rsid w:val="00A0019B"/>
    <w:rsid w:val="00A37DB7"/>
    <w:rsid w:val="00A4642F"/>
    <w:rsid w:val="00A95F56"/>
    <w:rsid w:val="00B21F96"/>
    <w:rsid w:val="00B45E44"/>
    <w:rsid w:val="00B60456"/>
    <w:rsid w:val="00BA27FE"/>
    <w:rsid w:val="00BC20CE"/>
    <w:rsid w:val="00C80BF3"/>
    <w:rsid w:val="00CE0E2B"/>
    <w:rsid w:val="00CF01F4"/>
    <w:rsid w:val="00D11EB1"/>
    <w:rsid w:val="00D302FA"/>
    <w:rsid w:val="00D749CB"/>
    <w:rsid w:val="00DD2FAD"/>
    <w:rsid w:val="00DD5AFA"/>
    <w:rsid w:val="00E53A49"/>
    <w:rsid w:val="00E60DFE"/>
    <w:rsid w:val="00E770B3"/>
    <w:rsid w:val="00E9741E"/>
    <w:rsid w:val="00EA434B"/>
    <w:rsid w:val="00EE78A7"/>
    <w:rsid w:val="00F0153B"/>
    <w:rsid w:val="00F10101"/>
    <w:rsid w:val="00F234C1"/>
    <w:rsid w:val="00FA2BA1"/>
    <w:rsid w:val="00FC050E"/>
    <w:rsid w:val="35A1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qFormat/>
    <w:uiPriority w:val="99"/>
    <w:pPr>
      <w:spacing w:before="100" w:beforeAutospacing="1" w:after="100" w:afterAutospacing="1"/>
    </w:pPr>
  </w:style>
  <w:style w:type="table" w:styleId="6">
    <w:name w:val="Table Grid"/>
    <w:basedOn w:val="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8">
    <w:name w:val="No Spacing"/>
    <w:link w:val="11"/>
    <w:qFormat/>
    <w:uiPriority w:val="0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9">
    <w:name w:val="fontstyle01"/>
    <w:basedOn w:val="2"/>
    <w:qFormat/>
    <w:uiPriority w:val="0"/>
    <w:rPr>
      <w:rFonts w:hint="default" w:ascii="DejaVuSerifCondensed" w:hAnsi="DejaVuSerifCondensed"/>
      <w:color w:val="000000"/>
      <w:sz w:val="24"/>
      <w:szCs w:val="24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Без интервала Знак"/>
    <w:link w:val="8"/>
    <w:locked/>
    <w:uiPriority w:val="0"/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2</Pages>
  <Words>382</Words>
  <Characters>2994</Characters>
  <Lines>26</Lines>
  <Paragraphs>7</Paragraphs>
  <TotalTime>99</TotalTime>
  <ScaleCrop>false</ScaleCrop>
  <LinksUpToDate>false</LinksUpToDate>
  <CharactersWithSpaces>3615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2023-04-05T11:56:00Z</dcterms:created>
  <dc:creator>USER</dc:creator>
  <cp:lastModifiedBy>user</cp:lastModifiedBy>
  <dcterms:modified xsi:type="dcterms:W3CDTF">2026-10-22T17:10:46Z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eyJoZGlkIjoiOTIxYTZjNDM0NmE2YTNkYzQ2ZTRjZDMwYWEyMzVlMGUifQ==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04E04987E5064343AD8D457060DDD21A_12</vt:lpwstr>
  </property>
</Properties>
</file>