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FEB5B8">
      <w:pPr>
        <w:spacing w:after="0" w:line="20" w:lineRule="atLeast"/>
        <w:jc w:val="center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b/>
          <w:color w:val="FF0000"/>
        </w:rPr>
        <w:t>ПРОСЬБА К ПОТЕНЦИАЛЬНОМУ ПОСТАВЩИКУ!</w:t>
      </w:r>
    </w:p>
    <w:p w14:paraId="738E13AE">
      <w:pPr>
        <w:spacing w:after="0" w:line="20" w:lineRule="atLeast"/>
        <w:jc w:val="both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b/>
          <w:color w:val="FF0000"/>
        </w:rPr>
        <w:t>ВНИМАТЕЛЬНО ЧИТАТЬ ТЕХНИЧЕСКУЮ СПЕЦИФИКАЦИЮ</w:t>
      </w:r>
    </w:p>
    <w:p w14:paraId="2C95F120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lang w:val="kk-KZ"/>
        </w:rPr>
      </w:pPr>
      <w:r>
        <w:rPr>
          <w:rFonts w:ascii="Times New Roman" w:hAnsi="Times New Roman" w:cs="Times New Roman"/>
          <w:b/>
          <w:bCs/>
          <w:lang w:val="kk-KZ"/>
        </w:rPr>
        <w:t>Приложение 2</w:t>
      </w:r>
    </w:p>
    <w:p w14:paraId="0F50164B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lang w:val="kk-KZ"/>
        </w:rPr>
      </w:pPr>
    </w:p>
    <w:p w14:paraId="0E74018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Техническая спецификация </w:t>
      </w:r>
    </w:p>
    <w:p w14:paraId="136B806C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оказание услуг по проведению семинара</w:t>
      </w:r>
    </w:p>
    <w:p w14:paraId="1E2A63B0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В настоящей Технической спецификации приведены основные требования по оказанию услуг.</w:t>
      </w:r>
    </w:p>
    <w:p w14:paraId="5B3F101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</w:p>
    <w:p w14:paraId="1D59CC5A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</w:p>
    <w:p w14:paraId="19016BCB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pacing w:val="2"/>
          <w:shd w:val="clear" w:color="auto" w:fill="FFFFFF"/>
        </w:rPr>
      </w:pPr>
      <w:r>
        <w:rPr>
          <w:rFonts w:ascii="Times New Roman" w:hAnsi="Times New Roman" w:cs="Times New Roman"/>
          <w:b/>
          <w:color w:val="FF0000"/>
          <w:spacing w:val="2"/>
          <w:u w:val="single"/>
          <w:shd w:val="clear" w:color="auto" w:fill="FFFFFF"/>
        </w:rPr>
        <w:t>потенциальный поставщик</w:t>
      </w:r>
      <w:r>
        <w:rPr>
          <w:rFonts w:ascii="Times New Roman" w:hAnsi="Times New Roman" w:cs="Times New Roman"/>
          <w:color w:val="000000"/>
          <w:spacing w:val="2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для них законами Республики Казахстан), временное объединение юридических лиц (консорциум), </w:t>
      </w:r>
      <w:r>
        <w:rPr>
          <w:rFonts w:ascii="Times New Roman" w:hAnsi="Times New Roman" w:cs="Times New Roman"/>
          <w:b/>
          <w:color w:val="FF0000"/>
          <w:spacing w:val="2"/>
          <w:u w:val="single"/>
          <w:shd w:val="clear" w:color="auto" w:fill="FFFFFF"/>
        </w:rPr>
        <w:t>претендующие на заключение договора о государственных закупках</w:t>
      </w:r>
      <w:r>
        <w:rPr>
          <w:rFonts w:ascii="Times New Roman" w:hAnsi="Times New Roman" w:cs="Times New Roman"/>
          <w:color w:val="000000"/>
          <w:spacing w:val="2"/>
          <w:shd w:val="clear" w:color="auto" w:fill="FFFFFF"/>
        </w:rPr>
        <w:t>.</w:t>
      </w:r>
    </w:p>
    <w:p w14:paraId="66910F1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pacing w:val="2"/>
          <w:shd w:val="clear" w:color="auto" w:fill="FFFFFF"/>
        </w:rPr>
      </w:pPr>
    </w:p>
    <w:p w14:paraId="65FC654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color w:val="FF0000"/>
          <w:spacing w:val="2"/>
          <w:u w:val="single"/>
          <w:shd w:val="clear" w:color="auto" w:fill="FFFFFF"/>
        </w:rPr>
        <w:t>поставщик</w:t>
      </w:r>
      <w:r>
        <w:rPr>
          <w:rFonts w:ascii="Times New Roman" w:hAnsi="Times New Roman" w:cs="Times New Roman"/>
          <w:color w:val="000000"/>
          <w:spacing w:val="2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законами Республики Казахстан), временное объединение юридических лиц (консорциум), </w:t>
      </w:r>
      <w:r>
        <w:rPr>
          <w:rFonts w:ascii="Times New Roman" w:hAnsi="Times New Roman" w:cs="Times New Roman"/>
          <w:b/>
          <w:color w:val="FF0000"/>
          <w:spacing w:val="2"/>
          <w:u w:val="single"/>
          <w:shd w:val="clear" w:color="auto" w:fill="FFFFFF"/>
        </w:rPr>
        <w:t>выступающие в качестве контрагента заказчика в заключенном с ним договоре о государственных закупках</w:t>
      </w:r>
      <w:r>
        <w:rPr>
          <w:rFonts w:ascii="Times New Roman" w:hAnsi="Times New Roman" w:cs="Times New Roman"/>
          <w:color w:val="000000"/>
          <w:spacing w:val="2"/>
          <w:shd w:val="clear" w:color="auto" w:fill="FFFFFF"/>
        </w:rPr>
        <w:t>.</w:t>
      </w:r>
    </w:p>
    <w:tbl>
      <w:tblPr>
        <w:tblStyle w:val="8"/>
        <w:tblW w:w="8897" w:type="dxa"/>
        <w:tblInd w:w="0" w:type="dxa"/>
        <w:tblBorders>
          <w:top w:val="single" w:color="999999" w:themeColor="text1" w:themeTint="66" w:sz="4" w:space="0"/>
          <w:left w:val="single" w:color="999999" w:themeColor="text1" w:themeTint="66" w:sz="4" w:space="0"/>
          <w:bottom w:val="single" w:color="999999" w:themeColor="text1" w:themeTint="66" w:sz="4" w:space="0"/>
          <w:right w:val="single" w:color="999999" w:themeColor="text1" w:themeTint="66" w:sz="4" w:space="0"/>
          <w:insideH w:val="single" w:color="999999" w:themeColor="text1" w:themeTint="66" w:sz="4" w:space="0"/>
          <w:insideV w:val="single" w:color="999999" w:themeColor="text1" w:themeTint="66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54"/>
        <w:gridCol w:w="7143"/>
      </w:tblGrid>
      <w:tr w14:paraId="41FA1442">
        <w:tblPrEx>
          <w:tblBorders>
            <w:top w:val="single" w:color="999999" w:themeColor="text1" w:themeTint="66" w:sz="4" w:space="0"/>
            <w:left w:val="single" w:color="999999" w:themeColor="text1" w:themeTint="66" w:sz="4" w:space="0"/>
            <w:bottom w:val="single" w:color="999999" w:themeColor="text1" w:themeTint="66" w:sz="4" w:space="0"/>
            <w:right w:val="single" w:color="999999" w:themeColor="text1" w:themeTint="66" w:sz="4" w:space="0"/>
            <w:insideH w:val="single" w:color="999999" w:themeColor="text1" w:themeTint="66" w:sz="4" w:space="0"/>
            <w:insideV w:val="single" w:color="999999" w:themeColor="text1" w:themeTint="6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1754" w:type="dxa"/>
            <w:tcBorders>
              <w:bottom w:val="single" w:color="666666" w:themeColor="text1" w:themeTint="99" w:sz="12" w:space="0"/>
              <w:insideH w:val="single" w:sz="12" w:space="0"/>
            </w:tcBorders>
          </w:tcPr>
          <w:p w14:paraId="1EC64E0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 w:val="0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 w:val="0"/>
                <w:bCs/>
                <w:lang w:eastAsia="ru-RU"/>
              </w:rPr>
              <w:t>Наименование семинара:</w:t>
            </w:r>
          </w:p>
        </w:tc>
        <w:tc>
          <w:tcPr>
            <w:tcW w:w="7143" w:type="dxa"/>
            <w:tcBorders>
              <w:bottom w:val="single" w:color="666666" w:themeColor="text1" w:themeTint="99" w:sz="12" w:space="0"/>
              <w:insideH w:val="single" w:sz="12" w:space="0"/>
            </w:tcBorders>
          </w:tcPr>
          <w:p w14:paraId="38AC3856">
            <w:pPr>
              <w:spacing w:after="0" w:line="240" w:lineRule="auto"/>
              <w:ind w:right="90"/>
              <w:jc w:val="both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Style w:val="4"/>
                <w:rFonts w:ascii="Times New Roman" w:hAnsi="Times New Roman" w:cs="Times New Roman"/>
                <w:b/>
                <w:bCs/>
                <w:i w:val="0"/>
              </w:rPr>
              <w:t xml:space="preserve">Сертификация для должностных лиц администраторов республиканских бюджетных программ и местных уполномоченных органов по исполнению бюджета, уполномоченных на ведение бухгалтерского учета и составление финансовой отчетности </w:t>
            </w:r>
          </w:p>
        </w:tc>
      </w:tr>
      <w:tr w14:paraId="74CEECF3">
        <w:tblPrEx>
          <w:tblBorders>
            <w:top w:val="single" w:color="999999" w:themeColor="text1" w:themeTint="66" w:sz="4" w:space="0"/>
            <w:left w:val="single" w:color="999999" w:themeColor="text1" w:themeTint="66" w:sz="4" w:space="0"/>
            <w:bottom w:val="single" w:color="999999" w:themeColor="text1" w:themeTint="66" w:sz="4" w:space="0"/>
            <w:right w:val="single" w:color="999999" w:themeColor="text1" w:themeTint="66" w:sz="4" w:space="0"/>
            <w:insideH w:val="single" w:color="999999" w:themeColor="text1" w:themeTint="66" w:sz="4" w:space="0"/>
            <w:insideV w:val="single" w:color="999999" w:themeColor="text1" w:themeTint="6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</w:trPr>
        <w:tc>
          <w:tcPr>
            <w:tcW w:w="1754" w:type="dxa"/>
          </w:tcPr>
          <w:p w14:paraId="31E7F9B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 w:val="0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 w:val="0"/>
                <w:bCs/>
                <w:lang w:eastAsia="ru-RU"/>
              </w:rPr>
              <w:t>Содержание семинара:</w:t>
            </w:r>
          </w:p>
        </w:tc>
        <w:tc>
          <w:tcPr>
            <w:tcW w:w="7143" w:type="dxa"/>
          </w:tcPr>
          <w:p w14:paraId="3431B0DC">
            <w:pPr>
              <w:widowControl w:val="0"/>
              <w:numPr>
                <w:ilvl w:val="1"/>
                <w:numId w:val="1"/>
              </w:numPr>
              <w:tabs>
                <w:tab w:val="left" w:pos="284"/>
                <w:tab w:val="left" w:pos="567"/>
                <w:tab w:val="left" w:pos="993"/>
                <w:tab w:val="left" w:pos="1579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Обучения и экзамены необходимо провести до конца ноября  2026 года.</w:t>
            </w:r>
          </w:p>
          <w:p w14:paraId="715AA536">
            <w:pPr>
              <w:widowControl w:val="0"/>
              <w:numPr>
                <w:ilvl w:val="0"/>
                <w:numId w:val="1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iCs/>
                <w:color w:val="000000"/>
              </w:rPr>
              <w:t xml:space="preserve">Цель и продолжительность образовательной программы: </w:t>
            </w:r>
            <w:r>
              <w:rPr>
                <w:rFonts w:ascii="Times New Roman" w:hAnsi="Times New Roman" w:eastAsia="Times New Roman" w:cs="Times New Roman"/>
                <w:lang w:val="kk-KZ"/>
              </w:rPr>
              <w:t>по дисциплине «Ведение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 и Ведение бухгалтерского учета и составление финансовой отчетности в квазигосударственном секторе в соответствии с МСФО</w:t>
            </w:r>
            <w:r>
              <w:rPr>
                <w:rFonts w:ascii="Times New Roman" w:hAnsi="Times New Roman" w:eastAsia="Times New Roman" w:cs="Times New Roman"/>
                <w:b/>
                <w:bCs/>
                <w:lang w:val="kk-KZ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lang w:val="kk-KZ"/>
              </w:rPr>
              <w:t>с разъяснениями и изменениями составления и ведения финансовой отчетности в государственных учреждениях по вновь принятым нормативным правовым актам</w:t>
            </w:r>
            <w:r>
              <w:rPr>
                <w:rFonts w:ascii="Times New Roman" w:hAnsi="Times New Roman" w:eastAsia="Times New Roman" w:cs="Times New Roman"/>
              </w:rPr>
              <w:t xml:space="preserve">. </w:t>
            </w:r>
            <w:r>
              <w:rPr>
                <w:rFonts w:ascii="Times New Roman" w:hAnsi="Times New Roman" w:eastAsia="Times New Roman" w:cs="Times New Roman"/>
                <w:lang w:val="kk-KZ"/>
              </w:rPr>
              <w:t>Продолжительность обучения должна быть по  8</w:t>
            </w:r>
            <w:r>
              <w:rPr>
                <w:rFonts w:ascii="Times New Roman" w:hAnsi="Times New Roman" w:eastAsia="Times New Roman" w:cs="Times New Roman"/>
              </w:rPr>
              <w:t xml:space="preserve">0 </w:t>
            </w:r>
            <w:r>
              <w:rPr>
                <w:rFonts w:ascii="Times New Roman" w:hAnsi="Times New Roman" w:eastAsia="Times New Roman" w:cs="Times New Roman"/>
                <w:lang w:val="kk-KZ"/>
              </w:rPr>
              <w:t>академических часов, в том числе практических занятий и самостоятельной работы. При этом 1 академический час равен 40 минутам</w:t>
            </w:r>
            <w:r>
              <w:rPr>
                <w:rFonts w:ascii="Times New Roman" w:hAnsi="Times New Roman" w:eastAsia="Times New Roman" w:cs="Times New Roman"/>
              </w:rPr>
              <w:t>.</w:t>
            </w:r>
          </w:p>
          <w:p w14:paraId="3D80F8C9">
            <w:pPr>
              <w:widowControl w:val="0"/>
              <w:numPr>
                <w:ilvl w:val="0"/>
                <w:numId w:val="1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 w:eastAsia="Times New Roman" w:cs="Times New Roman"/>
                <w:bCs/>
                <w:i/>
                <w:iCs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Требования к Потенциальному поставщику</w:t>
            </w:r>
            <w:r>
              <w:rPr>
                <w:rFonts w:ascii="Times New Roman" w:hAnsi="Times New Roman" w:eastAsia="Times New Roman" w:cs="Times New Roman"/>
                <w:bCs/>
                <w:i/>
                <w:iCs/>
              </w:rPr>
              <w:t>:</w:t>
            </w:r>
          </w:p>
          <w:p w14:paraId="196F6A1B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 w:eastAsia="Times New Roman" w:cs="Times New Roman"/>
                <w:bCs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</w:rPr>
              <w:t>3.1.</w:t>
            </w:r>
            <w:r>
              <w:rPr>
                <w:rFonts w:ascii="Times New Roman" w:hAnsi="Times New Roman" w:eastAsia="Times New Roman" w:cs="Times New Roman"/>
                <w:bCs/>
                <w:i/>
                <w:iCs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Cs/>
              </w:rPr>
              <w:t>Наличие свидетельства об аккредитации МФ РК в качестве организации по сертификации;</w:t>
            </w:r>
          </w:p>
          <w:p w14:paraId="17D50DB7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 w:eastAsia="Times New Roman" w:cs="Times New Roman"/>
                <w:bCs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</w:rPr>
              <w:t>3.2. Наличие Протокола Координационного совета на соответствие Правилам подготовки, переподготовки и повышения квалификации государственных служащих, требований к организациям образования, осуществляющим повышение квалификации государственных служащих (ПП РК от 15 марта 2018 года №125), что подтверждается включением в Перечень организаций образования, имеющие право предоставления услуг повышения квалификации государственных служащих,  решением Координационного совета уполномоченного  органа по делам государственной службы.</w:t>
            </w:r>
          </w:p>
          <w:p w14:paraId="2025A027">
            <w:pPr>
              <w:pStyle w:val="7"/>
              <w:widowControl w:val="0"/>
              <w:numPr>
                <w:ilvl w:val="1"/>
                <w:numId w:val="2"/>
              </w:numPr>
              <w:tabs>
                <w:tab w:val="left" w:pos="0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left="0" w:firstLine="567"/>
              <w:jc w:val="both"/>
              <w:rPr>
                <w:rFonts w:ascii="Times New Roman" w:hAnsi="Times New Roman" w:eastAsia="Times New Roman" w:cs="Times New Roman"/>
                <w:bCs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</w:rPr>
              <w:t xml:space="preserve">Наличие письма согласования от МФ РК экзаменационных модулей по сертификации должностных лиц администраторов республиканских бюджетных программ и местных уполномоченных органов по исполнению бюджета, уполномоченных на ведение бухгалтерского учета и составление финансовой отчетности разработанным в соответствии с программой опубликованной на официальном сайте Министерства Финансов РК по состоянию на 22.06.2026г. </w:t>
            </w:r>
          </w:p>
          <w:p w14:paraId="0BDA5111">
            <w:pPr>
              <w:pStyle w:val="7"/>
              <w:widowControl w:val="0"/>
              <w:numPr>
                <w:ilvl w:val="1"/>
                <w:numId w:val="2"/>
              </w:numPr>
              <w:tabs>
                <w:tab w:val="left" w:pos="0"/>
                <w:tab w:val="left" w:pos="330"/>
                <w:tab w:val="left" w:pos="835"/>
                <w:tab w:val="left" w:pos="1118"/>
              </w:tabs>
              <w:autoSpaceDE w:val="0"/>
              <w:autoSpaceDN w:val="0"/>
              <w:spacing w:after="0" w:line="240" w:lineRule="auto"/>
              <w:ind w:left="0" w:firstLine="551"/>
              <w:jc w:val="both"/>
              <w:rPr>
                <w:rFonts w:ascii="Times New Roman" w:hAnsi="Times New Roman" w:eastAsia="Times New Roman" w:cs="Times New Roman"/>
                <w:bCs/>
                <w:color w:val="FF0000"/>
                <w:lang w:val="kk-KZ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</w:rPr>
              <w:t>Наличие утвержденных учебных программ</w:t>
            </w:r>
            <w:r>
              <w:rPr>
                <w:rFonts w:ascii="Times New Roman" w:hAnsi="Times New Roman" w:cs="Times New Roman"/>
              </w:rPr>
              <w:t xml:space="preserve"> разработанной с учетом с программой опубликованной на официальном сайте Министерства Финансов РК </w:t>
            </w:r>
            <w:r>
              <w:rPr>
                <w:rFonts w:ascii="Times New Roman" w:hAnsi="Times New Roman" w:eastAsia="Times New Roman" w:cs="Times New Roman"/>
                <w:bCs/>
                <w:color w:val="000000"/>
              </w:rPr>
              <w:t>по состоянию на 22.06.2026г;</w:t>
            </w:r>
          </w:p>
          <w:p w14:paraId="1E8FB56E">
            <w:pPr>
              <w:pStyle w:val="7"/>
              <w:widowControl w:val="0"/>
              <w:numPr>
                <w:ilvl w:val="1"/>
                <w:numId w:val="2"/>
              </w:numPr>
              <w:tabs>
                <w:tab w:val="left" w:pos="0"/>
                <w:tab w:val="left" w:pos="835"/>
                <w:tab w:val="left" w:pos="976"/>
              </w:tabs>
              <w:autoSpaceDE w:val="0"/>
              <w:autoSpaceDN w:val="0"/>
              <w:spacing w:after="0" w:line="240" w:lineRule="auto"/>
              <w:ind w:left="0" w:firstLine="567"/>
              <w:jc w:val="both"/>
              <w:rPr>
                <w:rFonts w:ascii="Times New Roman" w:hAnsi="Times New Roman" w:eastAsia="Times New Roman" w:cs="Times New Roman"/>
                <w:bCs/>
                <w:lang w:val="kk-KZ"/>
              </w:rPr>
            </w:pPr>
            <w:r>
              <w:rPr>
                <w:rFonts w:ascii="Times New Roman" w:hAnsi="Times New Roman" w:eastAsia="Times New Roman" w:cs="Times New Roman"/>
                <w:bCs/>
              </w:rPr>
              <w:t>Наличие в собственности системы дистанционного обучения с возможностью прохождения пробного экзамена.</w:t>
            </w:r>
          </w:p>
          <w:p w14:paraId="637BDF06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hAnsi="Times New Roman" w:eastAsia="Times New Roman" w:cs="Times New Roman"/>
                <w:lang w:val="kk-KZ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3.6. Наличие у лектора авторского права на Модуль </w:t>
            </w:r>
            <w:r>
              <w:rPr>
                <w:rFonts w:ascii="Times New Roman" w:hAnsi="Times New Roman" w:eastAsia="Times New Roman" w:cs="Times New Roman"/>
                <w:lang w:val="kk-KZ"/>
              </w:rPr>
              <w:t>«Ведение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 и сертификатов: Профессиональный бухгалтер РК, CIMA (управление эффективностью бизнеса на русском языке, CAP,  Диплом по Международной Финансовой Отчетности (ДипИФР на русском языке)</w:t>
            </w:r>
            <w:r>
              <w:rPr>
                <w:rFonts w:ascii="Times New Roman" w:hAnsi="Times New Roman" w:eastAsia="Times New Roman" w:cs="Times New Roman"/>
              </w:rPr>
              <w:t>.</w:t>
            </w:r>
          </w:p>
          <w:p w14:paraId="2BB76601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hAnsi="Times New Roman" w:eastAsia="Times New Roman" w:cs="Times New Roman"/>
                <w:lang w:val="kk-KZ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</w:rPr>
              <w:t>4.Требования к учебному материалу:</w:t>
            </w:r>
            <w:r>
              <w:rPr>
                <w:rFonts w:ascii="Times New Roman" w:hAnsi="Times New Roman" w:eastAsia="Times New Roman" w:cs="Times New Roman"/>
                <w:lang w:val="kk-KZ"/>
              </w:rPr>
              <w:t xml:space="preserve"> Поставщик предоставляет слушателям до начала обучения учебно-методический комплекс который включают в себя (тренировочная тестовая база, тренировочные ситуационные задачи и теоретический материал) и нормативно правовую базу для госучереждении.</w:t>
            </w:r>
          </w:p>
          <w:p w14:paraId="1DCBD4D9">
            <w:pPr>
              <w:spacing w:before="120" w:after="0" w:line="240" w:lineRule="auto"/>
              <w:ind w:right="90" w:firstLine="567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Программа семинара:</w:t>
            </w:r>
          </w:p>
          <w:p w14:paraId="2FB148BF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 w:eastAsia="Calibri" w:cs="Times New Roman"/>
                <w:lang w:val="kk-KZ"/>
              </w:rPr>
              <w:t>Семинар</w:t>
            </w:r>
            <w:r>
              <w:rPr>
                <w:rFonts w:ascii="Times New Roman" w:hAnsi="Times New Roman" w:eastAsia="Calibri" w:cs="Times New Roman"/>
              </w:rPr>
              <w:t xml:space="preserve"> должен проводится с наглядными примерами.</w:t>
            </w:r>
          </w:p>
          <w:p w14:paraId="3F409EE7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 w:eastAsia="Calibri" w:cs="Times New Roman"/>
              </w:rPr>
              <w:t>Не менее 50 % от общего количества часов учебной программы должно составлять изучение практики.</w:t>
            </w:r>
          </w:p>
          <w:p w14:paraId="2D1CE3C1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 w:eastAsia="Calibri" w:cs="Times New Roman"/>
                <w:b/>
                <w:u w:val="single"/>
                <w:lang w:val="kk-KZ"/>
              </w:rPr>
            </w:pPr>
            <w:r>
              <w:rPr>
                <w:rFonts w:ascii="Times New Roman" w:hAnsi="Times New Roman" w:eastAsia="Calibri" w:cs="Times New Roman"/>
                <w:b/>
                <w:u w:val="single"/>
              </w:rPr>
              <w:t>Темы по семинару</w:t>
            </w:r>
            <w:r>
              <w:rPr>
                <w:rFonts w:ascii="Times New Roman" w:hAnsi="Times New Roman" w:eastAsia="Calibri" w:cs="Times New Roman"/>
                <w:b/>
                <w:u w:val="single"/>
                <w:lang w:val="kk-KZ"/>
              </w:rPr>
              <w:t>:</w:t>
            </w:r>
          </w:p>
          <w:p w14:paraId="485A22CD">
            <w:pPr>
              <w:spacing w:after="0" w:line="240" w:lineRule="auto"/>
              <w:ind w:firstLine="567"/>
              <w:jc w:val="both"/>
              <w:rPr>
                <w:rStyle w:val="4"/>
                <w:rFonts w:ascii="Times New Roman" w:hAnsi="Times New Roman" w:cs="Times New Roman"/>
              </w:rPr>
            </w:pPr>
            <w:r>
              <w:rPr>
                <w:rFonts w:ascii="Times New Roman" w:hAnsi="Times New Roman" w:eastAsia="Calibri" w:cs="Times New Roman"/>
              </w:rPr>
              <w:t xml:space="preserve"> </w:t>
            </w:r>
            <w:r>
              <w:rPr>
                <w:rStyle w:val="4"/>
                <w:rFonts w:ascii="Times New Roman" w:hAnsi="Times New Roman" w:cs="Times New Roman"/>
                <w:i w:val="0"/>
              </w:rPr>
              <w:t>Согласно приказу МФ РК №210 от 29.04.2025г. кандидаты проходят обучение и сдают экзамены по дисциплинам:</w:t>
            </w:r>
            <w:r>
              <w:rPr>
                <w:rStyle w:val="4"/>
                <w:rFonts w:ascii="Times New Roman" w:hAnsi="Times New Roman" w:cs="Times New Roman"/>
              </w:rPr>
              <w:t xml:space="preserve"> 1) ведение бухгалтерского учета и составление финансовой отчетности в государственных учреждениях в соответствии с МСФО ОС для общественного сектора; 2) ведение бухгалтерского учета и составление финансовой отчетности в квазигосударственном секторе в соответствии с МСФО:</w:t>
            </w:r>
          </w:p>
          <w:p w14:paraId="4C185CB2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lang w:eastAsia="ru-RU"/>
              </w:rPr>
              <w:t xml:space="preserve">Поставщик обязан дать </w:t>
            </w:r>
            <w:r>
              <w:rPr>
                <w:rFonts w:ascii="Times New Roman" w:hAnsi="Times New Roman" w:cs="Times New Roman"/>
                <w:iCs/>
                <w:lang w:eastAsia="ru-RU"/>
              </w:rPr>
              <w:t>Сертификат профессионального бухгалтера государственного учреждения слушателю при успешной сдаче 2-х экзаменов.</w:t>
            </w:r>
          </w:p>
          <w:p w14:paraId="6DC334D6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 w:cs="Times New Roman"/>
              </w:rPr>
            </w:pPr>
          </w:p>
        </w:tc>
      </w:tr>
      <w:tr w14:paraId="3F56CAC2">
        <w:tblPrEx>
          <w:tblBorders>
            <w:top w:val="single" w:color="999999" w:themeColor="text1" w:themeTint="66" w:sz="4" w:space="0"/>
            <w:left w:val="single" w:color="999999" w:themeColor="text1" w:themeTint="66" w:sz="4" w:space="0"/>
            <w:bottom w:val="single" w:color="999999" w:themeColor="text1" w:themeTint="66" w:sz="4" w:space="0"/>
            <w:right w:val="single" w:color="999999" w:themeColor="text1" w:themeTint="66" w:sz="4" w:space="0"/>
            <w:insideH w:val="single" w:color="999999" w:themeColor="text1" w:themeTint="66" w:sz="4" w:space="0"/>
            <w:insideV w:val="single" w:color="999999" w:themeColor="text1" w:themeTint="6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</w:trPr>
        <w:tc>
          <w:tcPr>
            <w:tcW w:w="1754" w:type="dxa"/>
          </w:tcPr>
          <w:p w14:paraId="4165262E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 w:val="0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 w:val="0"/>
                <w:bCs/>
                <w:lang w:eastAsia="ru-RU"/>
              </w:rPr>
              <w:t>Формат проведения тренинга</w:t>
            </w:r>
          </w:p>
        </w:tc>
        <w:tc>
          <w:tcPr>
            <w:tcW w:w="7143" w:type="dxa"/>
          </w:tcPr>
          <w:p w14:paraId="60768EF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>Офлайн</w:t>
            </w:r>
          </w:p>
        </w:tc>
      </w:tr>
      <w:tr w14:paraId="77E4B49E">
        <w:tblPrEx>
          <w:tblBorders>
            <w:top w:val="single" w:color="999999" w:themeColor="text1" w:themeTint="66" w:sz="4" w:space="0"/>
            <w:left w:val="single" w:color="999999" w:themeColor="text1" w:themeTint="66" w:sz="4" w:space="0"/>
            <w:bottom w:val="single" w:color="999999" w:themeColor="text1" w:themeTint="66" w:sz="4" w:space="0"/>
            <w:right w:val="single" w:color="999999" w:themeColor="text1" w:themeTint="66" w:sz="4" w:space="0"/>
            <w:insideH w:val="single" w:color="999999" w:themeColor="text1" w:themeTint="66" w:sz="4" w:space="0"/>
            <w:insideV w:val="single" w:color="999999" w:themeColor="text1" w:themeTint="6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</w:trPr>
        <w:tc>
          <w:tcPr>
            <w:tcW w:w="1754" w:type="dxa"/>
          </w:tcPr>
          <w:p w14:paraId="7FAD3D1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 w:val="0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 w:val="0"/>
                <w:bCs/>
                <w:lang w:eastAsia="ru-RU"/>
              </w:rPr>
              <w:t>Язык обучения</w:t>
            </w:r>
          </w:p>
        </w:tc>
        <w:tc>
          <w:tcPr>
            <w:tcW w:w="7143" w:type="dxa"/>
          </w:tcPr>
          <w:p w14:paraId="340D28D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>Русский и казахский</w:t>
            </w:r>
          </w:p>
        </w:tc>
      </w:tr>
      <w:tr w14:paraId="0869A21E">
        <w:tblPrEx>
          <w:tblBorders>
            <w:top w:val="single" w:color="999999" w:themeColor="text1" w:themeTint="66" w:sz="4" w:space="0"/>
            <w:left w:val="single" w:color="999999" w:themeColor="text1" w:themeTint="66" w:sz="4" w:space="0"/>
            <w:bottom w:val="single" w:color="999999" w:themeColor="text1" w:themeTint="66" w:sz="4" w:space="0"/>
            <w:right w:val="single" w:color="999999" w:themeColor="text1" w:themeTint="66" w:sz="4" w:space="0"/>
            <w:insideH w:val="single" w:color="999999" w:themeColor="text1" w:themeTint="66" w:sz="4" w:space="0"/>
            <w:insideV w:val="single" w:color="999999" w:themeColor="text1" w:themeTint="6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</w:trPr>
        <w:tc>
          <w:tcPr>
            <w:tcW w:w="1754" w:type="dxa"/>
            <w:shd w:val="clear"/>
            <w:vAlign w:val="top"/>
          </w:tcPr>
          <w:p w14:paraId="13BE155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 w:val="0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b w:val="0"/>
                <w:bCs/>
                <w:sz w:val="24"/>
                <w:szCs w:val="24"/>
                <w:lang w:eastAsia="ru-RU"/>
              </w:rPr>
              <w:t>Количество участников</w:t>
            </w:r>
          </w:p>
        </w:tc>
        <w:tc>
          <w:tcPr>
            <w:tcW w:w="7143" w:type="dxa"/>
            <w:shd w:val="clear"/>
            <w:vAlign w:val="top"/>
          </w:tcPr>
          <w:p w14:paraId="0F1F733B">
            <w:pPr>
              <w:spacing w:after="0" w:line="240" w:lineRule="auto"/>
              <w:jc w:val="both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val="kk-KZ" w:eastAsia="ru-RU" w:bidi="ar-SA"/>
              </w:rPr>
            </w:pP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человек</w:t>
            </w:r>
          </w:p>
        </w:tc>
      </w:tr>
      <w:tr w14:paraId="16849541">
        <w:tblPrEx>
          <w:tblBorders>
            <w:top w:val="single" w:color="999999" w:themeColor="text1" w:themeTint="66" w:sz="4" w:space="0"/>
            <w:left w:val="single" w:color="999999" w:themeColor="text1" w:themeTint="66" w:sz="4" w:space="0"/>
            <w:bottom w:val="single" w:color="999999" w:themeColor="text1" w:themeTint="66" w:sz="4" w:space="0"/>
            <w:right w:val="single" w:color="999999" w:themeColor="text1" w:themeTint="66" w:sz="4" w:space="0"/>
            <w:insideH w:val="single" w:color="999999" w:themeColor="text1" w:themeTint="66" w:sz="4" w:space="0"/>
            <w:insideV w:val="single" w:color="999999" w:themeColor="text1" w:themeTint="6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1754" w:type="dxa"/>
          </w:tcPr>
          <w:p w14:paraId="1BF1FC8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 w:val="0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 w:val="0"/>
                <w:bCs/>
                <w:lang w:eastAsia="ru-RU"/>
              </w:rPr>
              <w:t>Длительность семинара</w:t>
            </w:r>
          </w:p>
        </w:tc>
        <w:tc>
          <w:tcPr>
            <w:tcW w:w="7143" w:type="dxa"/>
          </w:tcPr>
          <w:p w14:paraId="2D72571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</w:rPr>
              <w:t>По 80 акад часо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Cs/>
              </w:rPr>
              <w:t>в</w:t>
            </w:r>
          </w:p>
        </w:tc>
      </w:tr>
      <w:tr w14:paraId="2711969B">
        <w:tblPrEx>
          <w:tblBorders>
            <w:top w:val="single" w:color="999999" w:themeColor="text1" w:themeTint="66" w:sz="4" w:space="0"/>
            <w:left w:val="single" w:color="999999" w:themeColor="text1" w:themeTint="66" w:sz="4" w:space="0"/>
            <w:bottom w:val="single" w:color="999999" w:themeColor="text1" w:themeTint="66" w:sz="4" w:space="0"/>
            <w:right w:val="single" w:color="999999" w:themeColor="text1" w:themeTint="66" w:sz="4" w:space="0"/>
            <w:insideH w:val="single" w:color="999999" w:themeColor="text1" w:themeTint="66" w:sz="4" w:space="0"/>
            <w:insideV w:val="single" w:color="999999" w:themeColor="text1" w:themeTint="6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</w:trPr>
        <w:tc>
          <w:tcPr>
            <w:tcW w:w="1754" w:type="dxa"/>
          </w:tcPr>
          <w:p w14:paraId="775EAE6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 w:val="0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 w:val="0"/>
                <w:bCs/>
                <w:lang w:eastAsia="ru-RU"/>
              </w:rPr>
              <w:t>Место проведения тренинга</w:t>
            </w:r>
          </w:p>
        </w:tc>
        <w:tc>
          <w:tcPr>
            <w:tcW w:w="7143" w:type="dxa"/>
          </w:tcPr>
          <w:p w14:paraId="0655DD25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Cs/>
                <w:lang w:val="kk-KZ"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На территории </w:t>
            </w:r>
            <w:r>
              <w:rPr>
                <w:rFonts w:ascii="Times New Roman" w:hAnsi="Times New Roman" w:eastAsia="Times New Roman" w:cs="Times New Roman"/>
                <w:bCs/>
                <w:lang w:val="kk-KZ" w:eastAsia="ru-RU"/>
              </w:rPr>
              <w:t>поставщика</w:t>
            </w:r>
          </w:p>
        </w:tc>
      </w:tr>
      <w:tr w14:paraId="5CD2E2EE">
        <w:tblPrEx>
          <w:tblBorders>
            <w:top w:val="single" w:color="999999" w:themeColor="text1" w:themeTint="66" w:sz="4" w:space="0"/>
            <w:left w:val="single" w:color="999999" w:themeColor="text1" w:themeTint="66" w:sz="4" w:space="0"/>
            <w:bottom w:val="single" w:color="999999" w:themeColor="text1" w:themeTint="66" w:sz="4" w:space="0"/>
            <w:right w:val="single" w:color="999999" w:themeColor="text1" w:themeTint="66" w:sz="4" w:space="0"/>
            <w:insideH w:val="single" w:color="999999" w:themeColor="text1" w:themeTint="66" w:sz="4" w:space="0"/>
            <w:insideV w:val="single" w:color="999999" w:themeColor="text1" w:themeTint="6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</w:trPr>
        <w:tc>
          <w:tcPr>
            <w:tcW w:w="1754" w:type="dxa"/>
          </w:tcPr>
          <w:p w14:paraId="68CB7AB1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 w:val="0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 w:val="0"/>
                <w:bCs/>
                <w:lang w:eastAsia="ru-RU"/>
              </w:rPr>
              <w:t>Срок оказания услуг</w:t>
            </w:r>
          </w:p>
        </w:tc>
        <w:tc>
          <w:tcPr>
            <w:tcW w:w="7143" w:type="dxa"/>
          </w:tcPr>
          <w:p w14:paraId="612ED5F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val="kk-KZ" w:eastAsia="ru-RU"/>
              </w:rPr>
              <w:t>По заявке заказчика в течении 16 календарных дней</w:t>
            </w:r>
          </w:p>
        </w:tc>
      </w:tr>
      <w:tr w14:paraId="1690CB8C">
        <w:tblPrEx>
          <w:tblBorders>
            <w:top w:val="single" w:color="999999" w:themeColor="text1" w:themeTint="66" w:sz="4" w:space="0"/>
            <w:left w:val="single" w:color="999999" w:themeColor="text1" w:themeTint="66" w:sz="4" w:space="0"/>
            <w:bottom w:val="single" w:color="999999" w:themeColor="text1" w:themeTint="66" w:sz="4" w:space="0"/>
            <w:right w:val="single" w:color="999999" w:themeColor="text1" w:themeTint="66" w:sz="4" w:space="0"/>
            <w:insideH w:val="single" w:color="999999" w:themeColor="text1" w:themeTint="66" w:sz="4" w:space="0"/>
            <w:insideV w:val="single" w:color="999999" w:themeColor="text1" w:themeTint="6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1754" w:type="dxa"/>
            <w:vAlign w:val="center"/>
          </w:tcPr>
          <w:p w14:paraId="2158B6E1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 w:val="0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 w:val="0"/>
                <w:bCs/>
                <w:lang w:eastAsia="ru-RU"/>
              </w:rPr>
              <w:t>Требования к Поставщику</w:t>
            </w:r>
          </w:p>
        </w:tc>
        <w:tc>
          <w:tcPr>
            <w:tcW w:w="7143" w:type="dxa"/>
            <w:vAlign w:val="center"/>
          </w:tcPr>
          <w:p w14:paraId="636C9739">
            <w:pPr>
              <w:pStyle w:val="7"/>
              <w:numPr>
                <w:ilvl w:val="0"/>
                <w:numId w:val="3"/>
              </w:numPr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>Поставщик должен провести обучение на русском и казахском языках;</w:t>
            </w:r>
          </w:p>
          <w:p w14:paraId="3F22B88A">
            <w:pPr>
              <w:pStyle w:val="7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Cs/>
                <w:i/>
                <w:lang w:eastAsia="ru-RU"/>
              </w:rPr>
            </w:pPr>
          </w:p>
          <w:p w14:paraId="446B78D5">
            <w:pPr>
              <w:pStyle w:val="7"/>
              <w:rPr>
                <w:rFonts w:ascii="Times New Roman" w:hAnsi="Times New Roman" w:eastAsia="Times New Roman" w:cs="Times New Roman"/>
                <w:bCs/>
                <w:i/>
                <w:i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i/>
                <w:lang w:eastAsia="ru-RU"/>
              </w:rPr>
              <w:t xml:space="preserve">После подписания договора Поставщик должен прикрепить подтверждающие документы (Протокол КС, свидетельства об аккредитации, письмо согласование от МФ РК, документы подтверждающую наличие СДО, утвержденные учебные программы, </w:t>
            </w:r>
            <w:r>
              <w:rPr>
                <w:rFonts w:ascii="Times New Roman" w:hAnsi="Times New Roman" w:eastAsia="Times New Roman" w:cs="Times New Roman"/>
                <w:bCs/>
                <w:i/>
                <w:iCs/>
                <w:lang w:eastAsia="ru-RU"/>
              </w:rPr>
              <w:t>свидетельство авторского</w:t>
            </w:r>
            <w:r>
              <w:rPr>
                <w:rFonts w:ascii="Times New Roman" w:hAnsi="Times New Roman" w:eastAsia="Times New Roman" w:cs="Times New Roman"/>
                <w:bCs/>
                <w:i/>
                <w:lang w:eastAsia="ru-RU"/>
              </w:rPr>
              <w:t xml:space="preserve"> права, сертификаты, дипломы лектора) посредством Веб-Портала государственных закупок в разделе «Подтверждающие документы»</w:t>
            </w:r>
            <w:r>
              <w:rPr>
                <w:rFonts w:ascii="Times New Roman" w:hAnsi="Times New Roman" w:eastAsia="Times New Roman" w:cs="Times New Roman"/>
                <w:bCs/>
                <w:i/>
                <w:iCs/>
                <w:lang w:eastAsia="ru-RU"/>
              </w:rPr>
              <w:t xml:space="preserve"> </w:t>
            </w:r>
          </w:p>
          <w:p w14:paraId="6AC1596E">
            <w:pPr>
              <w:pStyle w:val="7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</w:p>
        </w:tc>
      </w:tr>
    </w:tbl>
    <w:p w14:paraId="3AF7292C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09A9C30E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50ACA236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09D7DF51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399ED6E8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1DA749C4">
      <w:pPr>
        <w:spacing w:after="0" w:line="20" w:lineRule="atLeast"/>
        <w:jc w:val="both"/>
        <w:rPr>
          <w:rFonts w:ascii="Times New Roman" w:hAnsi="Times New Roman" w:cs="Times New Roman"/>
        </w:rPr>
      </w:pPr>
    </w:p>
    <w:sectPr>
      <w:pgSz w:w="12240" w:h="15840"/>
      <w:pgMar w:top="284" w:right="850" w:bottom="1134" w:left="1701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A3852EB"/>
    <w:multiLevelType w:val="multilevel"/>
    <w:tmpl w:val="2A3852EB"/>
    <w:lvl w:ilvl="0" w:tentative="0">
      <w:start w:val="0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55073134"/>
    <w:multiLevelType w:val="multilevel"/>
    <w:tmpl w:val="55073134"/>
    <w:lvl w:ilvl="0" w:tentative="0">
      <w:start w:val="1"/>
      <w:numFmt w:val="decimal"/>
      <w:lvlText w:val="%1."/>
      <w:lvlJc w:val="left"/>
      <w:rPr>
        <w:rFonts w:ascii="Times New Roman" w:hAnsi="Times New Roman" w:eastAsia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 w:tentative="0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2">
    <w:nsid w:val="771F20AA"/>
    <w:multiLevelType w:val="multilevel"/>
    <w:tmpl w:val="771F20AA"/>
    <w:lvl w:ilvl="0" w:tentative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3"/>
      <w:numFmt w:val="decimal"/>
      <w:lvlText w:val="%1.%2."/>
      <w:lvlJc w:val="left"/>
      <w:pPr>
        <w:ind w:left="690" w:hanging="360"/>
      </w:pPr>
      <w:rPr>
        <w:rFonts w:hint="default"/>
        <w:color w:val="auto"/>
      </w:rPr>
    </w:lvl>
    <w:lvl w:ilvl="2" w:tentative="0">
      <w:start w:val="1"/>
      <w:numFmt w:val="decimal"/>
      <w:lvlText w:val="%1.%2.%3."/>
      <w:lvlJc w:val="left"/>
      <w:pPr>
        <w:ind w:left="138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1710" w:hanging="72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2400" w:hanging="1080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2730" w:hanging="1080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3420" w:hanging="1440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164"/>
    <w:rsid w:val="000400AA"/>
    <w:rsid w:val="000418B3"/>
    <w:rsid w:val="00054ADF"/>
    <w:rsid w:val="000676C1"/>
    <w:rsid w:val="0008715E"/>
    <w:rsid w:val="000B0E52"/>
    <w:rsid w:val="000E3CAB"/>
    <w:rsid w:val="000E540E"/>
    <w:rsid w:val="000F0739"/>
    <w:rsid w:val="001227BC"/>
    <w:rsid w:val="001430FD"/>
    <w:rsid w:val="00145B79"/>
    <w:rsid w:val="00197FB4"/>
    <w:rsid w:val="001C29B0"/>
    <w:rsid w:val="001C4143"/>
    <w:rsid w:val="001E0451"/>
    <w:rsid w:val="002168FC"/>
    <w:rsid w:val="0025666B"/>
    <w:rsid w:val="00265158"/>
    <w:rsid w:val="00312ABD"/>
    <w:rsid w:val="00312C2E"/>
    <w:rsid w:val="003611EA"/>
    <w:rsid w:val="0037568F"/>
    <w:rsid w:val="00390D57"/>
    <w:rsid w:val="003B70AD"/>
    <w:rsid w:val="003C5D92"/>
    <w:rsid w:val="003D5B47"/>
    <w:rsid w:val="003E5EAE"/>
    <w:rsid w:val="003F2591"/>
    <w:rsid w:val="003F5EF7"/>
    <w:rsid w:val="00427EBA"/>
    <w:rsid w:val="004A5DD8"/>
    <w:rsid w:val="004D4DCF"/>
    <w:rsid w:val="004E3163"/>
    <w:rsid w:val="004F4517"/>
    <w:rsid w:val="0052058D"/>
    <w:rsid w:val="00540DB1"/>
    <w:rsid w:val="00563AD0"/>
    <w:rsid w:val="00566DD8"/>
    <w:rsid w:val="00574308"/>
    <w:rsid w:val="00587B0B"/>
    <w:rsid w:val="0059307D"/>
    <w:rsid w:val="005E4B7C"/>
    <w:rsid w:val="005F32CD"/>
    <w:rsid w:val="00606AE0"/>
    <w:rsid w:val="00607CA9"/>
    <w:rsid w:val="00621B6F"/>
    <w:rsid w:val="006534D5"/>
    <w:rsid w:val="00664DF9"/>
    <w:rsid w:val="006C3CA1"/>
    <w:rsid w:val="006D3E1A"/>
    <w:rsid w:val="006F391F"/>
    <w:rsid w:val="006F4D85"/>
    <w:rsid w:val="00700875"/>
    <w:rsid w:val="00723214"/>
    <w:rsid w:val="00752C49"/>
    <w:rsid w:val="007810DE"/>
    <w:rsid w:val="007B0EC6"/>
    <w:rsid w:val="007E11BC"/>
    <w:rsid w:val="007F661D"/>
    <w:rsid w:val="0080440E"/>
    <w:rsid w:val="00825EB3"/>
    <w:rsid w:val="008470A1"/>
    <w:rsid w:val="00847C26"/>
    <w:rsid w:val="00852A48"/>
    <w:rsid w:val="008B1C16"/>
    <w:rsid w:val="008C439E"/>
    <w:rsid w:val="008C5EFE"/>
    <w:rsid w:val="008F2B4A"/>
    <w:rsid w:val="008F57CD"/>
    <w:rsid w:val="00924CBB"/>
    <w:rsid w:val="009634B3"/>
    <w:rsid w:val="00980F45"/>
    <w:rsid w:val="00991F31"/>
    <w:rsid w:val="009D3D4D"/>
    <w:rsid w:val="009D62DB"/>
    <w:rsid w:val="00A070E2"/>
    <w:rsid w:val="00A55752"/>
    <w:rsid w:val="00A87164"/>
    <w:rsid w:val="00AA0469"/>
    <w:rsid w:val="00AA4D8B"/>
    <w:rsid w:val="00AD02C8"/>
    <w:rsid w:val="00AE0D89"/>
    <w:rsid w:val="00AF77AE"/>
    <w:rsid w:val="00B03A76"/>
    <w:rsid w:val="00B17213"/>
    <w:rsid w:val="00B17475"/>
    <w:rsid w:val="00B37285"/>
    <w:rsid w:val="00B751B7"/>
    <w:rsid w:val="00B761AB"/>
    <w:rsid w:val="00BA1647"/>
    <w:rsid w:val="00BB4B57"/>
    <w:rsid w:val="00BB5C66"/>
    <w:rsid w:val="00BF1159"/>
    <w:rsid w:val="00BF2311"/>
    <w:rsid w:val="00C712C7"/>
    <w:rsid w:val="00CB262B"/>
    <w:rsid w:val="00CF631C"/>
    <w:rsid w:val="00D37CB8"/>
    <w:rsid w:val="00D37E1A"/>
    <w:rsid w:val="00D40FF0"/>
    <w:rsid w:val="00D50660"/>
    <w:rsid w:val="00D767A4"/>
    <w:rsid w:val="00DA1EBC"/>
    <w:rsid w:val="00DC078F"/>
    <w:rsid w:val="00DC1AFC"/>
    <w:rsid w:val="00DD7398"/>
    <w:rsid w:val="00DF3034"/>
    <w:rsid w:val="00E24B54"/>
    <w:rsid w:val="00E35AFD"/>
    <w:rsid w:val="00E7187A"/>
    <w:rsid w:val="00E92F55"/>
    <w:rsid w:val="00EE10FE"/>
    <w:rsid w:val="00EF26FD"/>
    <w:rsid w:val="00EF69A4"/>
    <w:rsid w:val="00F37857"/>
    <w:rsid w:val="00F4095E"/>
    <w:rsid w:val="00F50CBB"/>
    <w:rsid w:val="00F53464"/>
    <w:rsid w:val="00FA252D"/>
    <w:rsid w:val="00FC6B94"/>
    <w:rsid w:val="34ED069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qFormat/>
    <w:uiPriority w:val="20"/>
    <w:rPr>
      <w:i/>
      <w:iCs/>
    </w:rPr>
  </w:style>
  <w:style w:type="character" w:styleId="5">
    <w:name w:val="Hyperlink"/>
    <w:unhideWhenUsed/>
    <w:qFormat/>
    <w:uiPriority w:val="99"/>
    <w:rPr>
      <w:color w:val="0000FF"/>
      <w:u w:val="single"/>
    </w:rPr>
  </w:style>
  <w:style w:type="table" w:styleId="6">
    <w:name w:val="Table Grid"/>
    <w:basedOn w:val="3"/>
    <w:uiPriority w:val="59"/>
    <w:pPr>
      <w:widowControl w:val="0"/>
      <w:spacing w:after="0" w:line="240" w:lineRule="auto"/>
    </w:pPr>
    <w:rPr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ind w:left="720"/>
      <w:contextualSpacing/>
    </w:pPr>
  </w:style>
  <w:style w:type="table" w:customStyle="1" w:styleId="8">
    <w:name w:val="Таблица-сетка 1 светлая1"/>
    <w:basedOn w:val="3"/>
    <w:qFormat/>
    <w:uiPriority w:val="46"/>
    <w:pPr>
      <w:spacing w:after="0" w:line="240" w:lineRule="auto"/>
    </w:pPr>
    <w:rPr>
      <w:lang w:val="ru-RU" w:eastAsia="en-US"/>
    </w:rPr>
    <w:tblPr>
      <w:tblBorders>
        <w:top w:val="single" w:color="999999" w:themeColor="text1" w:themeTint="66" w:sz="4" w:space="0"/>
        <w:left w:val="single" w:color="999999" w:themeColor="text1" w:themeTint="66" w:sz="4" w:space="0"/>
        <w:bottom w:val="single" w:color="999999" w:themeColor="text1" w:themeTint="66" w:sz="4" w:space="0"/>
        <w:right w:val="single" w:color="999999" w:themeColor="text1" w:themeTint="66" w:sz="4" w:space="0"/>
        <w:insideH w:val="single" w:color="999999" w:themeColor="text1" w:themeTint="66" w:sz="4" w:space="0"/>
        <w:insideV w:val="single" w:color="999999" w:themeColor="text1" w:themeTint="66" w:sz="4" w:space="0"/>
      </w:tblBorders>
    </w:tblPr>
    <w:tblStylePr w:type="firstRow">
      <w:rPr>
        <w:b/>
        <w:bCs/>
      </w:rPr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cPr>
        <w:tcBorders>
          <w:top w:val="double" w:color="666666" w:themeColor="tex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D9985B-CF1B-465F-A853-F834CBB8EF0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3</Pages>
  <Words>623</Words>
  <Characters>4725</Characters>
  <Lines>38</Lines>
  <Paragraphs>10</Paragraphs>
  <TotalTime>0</TotalTime>
  <ScaleCrop>false</ScaleCrop>
  <LinksUpToDate>false</LinksUpToDate>
  <CharactersWithSpaces>5318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2026-09-26T13:50:00Z</dcterms:created>
  <dc:creator>Sabira M Komekova</dc:creator>
  <cp:lastModifiedBy>user</cp:lastModifiedBy>
  <dcterms:modified xsi:type="dcterms:W3CDTF">2026-10-13T13:28:57Z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eyJoZGlkIjoiODdkN2FjNWYzM2RiNDQ2YTE3NTkzYWU1ZmVmZjAwNzcifQ==</vt:lpwstr>
  </property>
  <property fmtid="{D5CDD505-2E9C-101B-9397-08002B2CF9AE}" pid="3" name="KSOProductBuildVer">
    <vt:lpwstr>1049-12.1.0.29162</vt:lpwstr>
  </property>
  <property fmtid="{D5CDD505-2E9C-101B-9397-08002B2CF9AE}" pid="4" name="ICV">
    <vt:lpwstr>85D3D0AB75BE426091AD3385D1172512_13</vt:lpwstr>
  </property>
</Properties>
</file>