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457EF">
      <w:pPr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Приложение 1</w:t>
      </w:r>
    </w:p>
    <w:p w14:paraId="142E6BF4">
      <w:pPr>
        <w:rPr>
          <w:b/>
          <w:sz w:val="28"/>
          <w:szCs w:val="28"/>
        </w:rPr>
      </w:pPr>
    </w:p>
    <w:p w14:paraId="53F03A7E">
      <w:pPr>
        <w:rPr>
          <w:b/>
          <w:sz w:val="28"/>
          <w:szCs w:val="28"/>
        </w:rPr>
      </w:pPr>
    </w:p>
    <w:p w14:paraId="4200DF39">
      <w:pPr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>
        <w:rPr>
          <w:b/>
          <w:sz w:val="28"/>
          <w:szCs w:val="28"/>
        </w:rPr>
        <w:t>Техническая спецификация</w:t>
      </w:r>
    </w:p>
    <w:p w14:paraId="36805351">
      <w:pPr>
        <w:rPr>
          <w:b/>
          <w:sz w:val="28"/>
          <w:szCs w:val="28"/>
        </w:rPr>
      </w:pPr>
    </w:p>
    <w:p w14:paraId="74091A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Услуги по страхованию гражданско-правовой ответственности  ОПП </w:t>
      </w:r>
    </w:p>
    <w:p w14:paraId="1C488752">
      <w:pPr>
        <w:sectPr>
          <w:pgSz w:w="11906" w:h="16838"/>
          <w:pgMar w:top="1134" w:right="707" w:bottom="709" w:left="1701" w:header="0" w:footer="0" w:gutter="0"/>
          <w:cols w:space="720" w:num="1"/>
          <w:formProt w:val="0"/>
          <w:docGrid w:linePitch="360" w:charSpace="0"/>
        </w:sectPr>
      </w:pPr>
    </w:p>
    <w:tbl>
      <w:tblPr>
        <w:tblStyle w:val="3"/>
        <w:tblW w:w="162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"/>
        <w:gridCol w:w="79"/>
      </w:tblGrid>
      <w:tr w14:paraId="1DDA7A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2" w:type="dxa"/>
            <w:vAlign w:val="center"/>
          </w:tcPr>
          <w:p w14:paraId="257C0AAA">
            <w:pPr>
              <w:widowControl w:val="0"/>
              <w:tabs>
                <w:tab w:val="left" w:pos="5205"/>
              </w:tabs>
            </w:pPr>
          </w:p>
        </w:tc>
        <w:tc>
          <w:tcPr>
            <w:tcW w:w="79" w:type="dxa"/>
            <w:vAlign w:val="center"/>
          </w:tcPr>
          <w:p w14:paraId="22B1E63D">
            <w:pPr>
              <w:widowControl w:val="0"/>
            </w:pPr>
          </w:p>
        </w:tc>
      </w:tr>
    </w:tbl>
    <w:tbl>
      <w:tblPr>
        <w:tblStyle w:val="8"/>
        <w:tblW w:w="10802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589"/>
        <w:gridCol w:w="2066"/>
        <w:gridCol w:w="1621"/>
        <w:gridCol w:w="2833"/>
        <w:gridCol w:w="1418"/>
        <w:gridCol w:w="850"/>
      </w:tblGrid>
      <w:tr w14:paraId="62AD2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424" w:type="dxa"/>
            <w:vAlign w:val="bottom"/>
          </w:tcPr>
          <w:p w14:paraId="61A48B6A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14:paraId="0085560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14:paraId="1641E8F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страхования</w:t>
            </w:r>
          </w:p>
        </w:tc>
        <w:tc>
          <w:tcPr>
            <w:tcW w:w="2066" w:type="dxa"/>
            <w:vAlign w:val="bottom"/>
          </w:tcPr>
          <w:p w14:paraId="79931BD4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14:paraId="1B9F800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Марка</w:t>
            </w:r>
          </w:p>
        </w:tc>
        <w:tc>
          <w:tcPr>
            <w:tcW w:w="1621" w:type="dxa"/>
            <w:vAlign w:val="bottom"/>
          </w:tcPr>
          <w:p w14:paraId="50FF4CE8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Модель</w:t>
            </w:r>
          </w:p>
        </w:tc>
        <w:tc>
          <w:tcPr>
            <w:tcW w:w="2833" w:type="dxa"/>
            <w:vAlign w:val="bottom"/>
          </w:tcPr>
          <w:p w14:paraId="6D363B3E">
            <w:pPr>
              <w:widowControl w:val="0"/>
              <w:ind w:left="-250" w:firstLine="250"/>
              <w:jc w:val="center"/>
              <w:rPr>
                <w:sz w:val="20"/>
              </w:rPr>
            </w:pPr>
            <w:r>
              <w:rPr>
                <w:sz w:val="20"/>
              </w:rPr>
              <w:t>Категория</w:t>
            </w:r>
          </w:p>
        </w:tc>
        <w:tc>
          <w:tcPr>
            <w:tcW w:w="1418" w:type="dxa"/>
          </w:tcPr>
          <w:p w14:paraId="548BA6FE">
            <w:pPr>
              <w:widowControl w:val="0"/>
              <w:jc w:val="center"/>
              <w:rPr>
                <w:lang w:val="kk-KZ"/>
              </w:rPr>
            </w:pPr>
            <w:r>
              <w:rPr>
                <w:sz w:val="20"/>
                <w:lang w:val="kk-KZ"/>
              </w:rPr>
              <w:t>Срок страхового полиса</w:t>
            </w:r>
          </w:p>
        </w:tc>
        <w:tc>
          <w:tcPr>
            <w:tcW w:w="850" w:type="dxa"/>
            <w:vAlign w:val="bottom"/>
          </w:tcPr>
          <w:p w14:paraId="0C9246A7">
            <w:pPr>
              <w:widowControl w:val="0"/>
              <w:jc w:val="center"/>
              <w:rPr>
                <w:sz w:val="20"/>
              </w:rPr>
            </w:pPr>
          </w:p>
        </w:tc>
      </w:tr>
      <w:tr w14:paraId="4A05B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280F436F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14:paraId="6C9AC380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>С</w:t>
            </w:r>
            <w:r>
              <w:rPr>
                <w:b/>
                <w:bCs/>
                <w:color w:val="C9211E"/>
                <w:sz w:val="20"/>
              </w:rPr>
              <w:t xml:space="preserve"> ПП  ВТС</w:t>
            </w:r>
          </w:p>
        </w:tc>
        <w:tc>
          <w:tcPr>
            <w:tcW w:w="2066" w:type="dxa"/>
            <w:vAlign w:val="center"/>
          </w:tcPr>
          <w:p w14:paraId="084AFEF6">
            <w:pPr>
              <w:widowControl w:val="0"/>
              <w:snapToGrid w:val="0"/>
              <w:rPr>
                <w:color w:val="000000"/>
                <w:lang w:val="en-US"/>
              </w:rPr>
            </w:pPr>
            <w:r>
              <w:rPr>
                <w:rFonts w:ascii="monospace" w:hAnsi="monospace"/>
                <w:color w:val="000000"/>
                <w:lang w:val="en-US"/>
              </w:rPr>
              <w:t xml:space="preserve">JAC SUNRAY M209G-05 </w:t>
            </w:r>
          </w:p>
        </w:tc>
        <w:tc>
          <w:tcPr>
            <w:tcW w:w="1621" w:type="dxa"/>
            <w:vAlign w:val="center"/>
          </w:tcPr>
          <w:p w14:paraId="4023E7C7">
            <w:pPr>
              <w:widowControl w:val="0"/>
              <w:snapToGrid w:val="0"/>
              <w:rPr>
                <w:color w:val="000000"/>
                <w:lang w:val="en-US"/>
              </w:rPr>
            </w:pPr>
            <w:r>
              <w:rPr>
                <w:rFonts w:ascii="Tahoma;Arial;Helvetica;sans-ser" w:hAnsi="Tahoma;Arial;Helvetica;sans-ser"/>
                <w:color w:val="000000"/>
                <w:sz w:val="17"/>
                <w:lang w:val="en-US"/>
              </w:rPr>
              <w:t xml:space="preserve">JAC SUNRAY M209G-05 </w:t>
            </w:r>
          </w:p>
        </w:tc>
        <w:tc>
          <w:tcPr>
            <w:tcW w:w="2833" w:type="dxa"/>
            <w:vAlign w:val="center"/>
          </w:tcPr>
          <w:p w14:paraId="3C7F90EA">
            <w:pPr>
              <w:widowControl w:val="0"/>
              <w:jc w:val="center"/>
              <w:rPr>
                <w:b/>
                <w:bCs/>
                <w:color w:val="C9211E"/>
                <w:sz w:val="20"/>
                <w:lang w:val="en-US"/>
              </w:rPr>
            </w:pPr>
            <w:r>
              <w:rPr>
                <w:b/>
                <w:bCs/>
                <w:color w:val="C9211E"/>
                <w:sz w:val="20"/>
                <w:lang w:val="en-US"/>
              </w:rPr>
              <w:t>D</w:t>
            </w:r>
          </w:p>
        </w:tc>
        <w:tc>
          <w:tcPr>
            <w:tcW w:w="1418" w:type="dxa"/>
          </w:tcPr>
          <w:p w14:paraId="04E72FC3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14:paraId="341FFBA5">
            <w:pPr>
              <w:widowControl w:val="0"/>
              <w:jc w:val="center"/>
              <w:rPr>
                <w:lang w:val="kk-KZ"/>
              </w:rPr>
            </w:pPr>
          </w:p>
        </w:tc>
      </w:tr>
      <w:tr w14:paraId="530CF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59678BD4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89" w:type="dxa"/>
            <w:vAlign w:val="center"/>
          </w:tcPr>
          <w:p w14:paraId="746C263E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74041DBE">
            <w:pPr>
              <w:widowControl w:val="0"/>
              <w:snapToGrid w:val="0"/>
              <w:rPr>
                <w:color w:val="000000"/>
                <w:sz w:val="20"/>
              </w:rPr>
            </w:pPr>
          </w:p>
        </w:tc>
        <w:tc>
          <w:tcPr>
            <w:tcW w:w="1621" w:type="dxa"/>
            <w:vAlign w:val="center"/>
          </w:tcPr>
          <w:p w14:paraId="5CF600BA">
            <w:pPr>
              <w:widowControl w:val="0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2833" w:type="dxa"/>
            <w:vAlign w:val="center"/>
          </w:tcPr>
          <w:p w14:paraId="6486BF67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1418" w:type="dxa"/>
          </w:tcPr>
          <w:p w14:paraId="2069B879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14:paraId="12D6BC92">
            <w:pPr>
              <w:widowControl w:val="0"/>
              <w:jc w:val="center"/>
              <w:rPr>
                <w:lang w:val="kk-KZ"/>
              </w:rPr>
            </w:pPr>
          </w:p>
        </w:tc>
      </w:tr>
      <w:tr w14:paraId="615F4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32CE39F1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89" w:type="dxa"/>
            <w:vAlign w:val="center"/>
          </w:tcPr>
          <w:p w14:paraId="2C919FBA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69A97FDB">
            <w:pPr>
              <w:widowControl w:val="0"/>
              <w:snapToGrid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vAlign w:val="center"/>
          </w:tcPr>
          <w:p w14:paraId="269AD3DF">
            <w:pPr>
              <w:widowControl w:val="0"/>
              <w:rPr>
                <w:b/>
                <w:bCs/>
                <w:color w:val="C9211E"/>
                <w:sz w:val="20"/>
                <w:lang w:val="en-US"/>
              </w:rPr>
            </w:pPr>
          </w:p>
        </w:tc>
        <w:tc>
          <w:tcPr>
            <w:tcW w:w="2833" w:type="dxa"/>
            <w:vAlign w:val="center"/>
          </w:tcPr>
          <w:p w14:paraId="1CBEC74A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1418" w:type="dxa"/>
          </w:tcPr>
          <w:p w14:paraId="5DF01AFA">
            <w:pPr>
              <w:widowControl w:val="0"/>
              <w:jc w:val="center"/>
              <w:rPr>
                <w:b/>
                <w:bCs/>
                <w:color w:val="C9211E"/>
                <w:sz w:val="20"/>
              </w:rPr>
            </w:pPr>
          </w:p>
        </w:tc>
        <w:tc>
          <w:tcPr>
            <w:tcW w:w="850" w:type="dxa"/>
            <w:vAlign w:val="center"/>
          </w:tcPr>
          <w:p w14:paraId="5F47D265">
            <w:pPr>
              <w:widowControl w:val="0"/>
              <w:jc w:val="center"/>
              <w:rPr>
                <w:lang w:val="kk-KZ"/>
              </w:rPr>
            </w:pPr>
          </w:p>
        </w:tc>
      </w:tr>
      <w:tr w14:paraId="370D7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4" w:type="dxa"/>
            <w:vAlign w:val="center"/>
          </w:tcPr>
          <w:p w14:paraId="1EBD059B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1589" w:type="dxa"/>
            <w:vAlign w:val="center"/>
          </w:tcPr>
          <w:p w14:paraId="548CDB7B">
            <w:pPr>
              <w:widowControl w:val="0"/>
              <w:jc w:val="center"/>
              <w:rPr>
                <w:b/>
                <w:bCs/>
                <w:color w:val="C9211E"/>
              </w:rPr>
            </w:pPr>
          </w:p>
        </w:tc>
        <w:tc>
          <w:tcPr>
            <w:tcW w:w="2066" w:type="dxa"/>
            <w:vAlign w:val="center"/>
          </w:tcPr>
          <w:p w14:paraId="3ACCE529">
            <w:pPr>
              <w:widowControl w:val="0"/>
              <w:snapToGrid w:val="0"/>
              <w:rPr>
                <w:color w:val="000000"/>
                <w:lang w:val="en-US"/>
              </w:rPr>
            </w:pPr>
          </w:p>
        </w:tc>
        <w:tc>
          <w:tcPr>
            <w:tcW w:w="1621" w:type="dxa"/>
            <w:vAlign w:val="center"/>
          </w:tcPr>
          <w:p w14:paraId="618029D0">
            <w:pPr>
              <w:widowControl w:val="0"/>
              <w:rPr>
                <w:b/>
                <w:bCs/>
                <w:color w:val="C9211E"/>
                <w:sz w:val="20"/>
                <w:lang w:val="en-US"/>
              </w:rPr>
            </w:pPr>
          </w:p>
        </w:tc>
        <w:tc>
          <w:tcPr>
            <w:tcW w:w="2833" w:type="dxa"/>
            <w:vAlign w:val="center"/>
          </w:tcPr>
          <w:p w14:paraId="0CD0FB30">
            <w:pPr>
              <w:widowControl w:val="0"/>
              <w:jc w:val="center"/>
              <w:rPr>
                <w:b/>
                <w:bCs/>
                <w:color w:val="C9211E"/>
                <w:lang w:val="en-US"/>
              </w:rPr>
            </w:pPr>
          </w:p>
        </w:tc>
        <w:tc>
          <w:tcPr>
            <w:tcW w:w="1418" w:type="dxa"/>
          </w:tcPr>
          <w:p w14:paraId="4841261F">
            <w:pPr>
              <w:widowControl w:val="0"/>
              <w:jc w:val="center"/>
              <w:rPr>
                <w:b/>
                <w:bCs/>
                <w:color w:val="C9211E"/>
                <w:lang w:val="kk-KZ"/>
              </w:rPr>
            </w:pPr>
          </w:p>
        </w:tc>
        <w:tc>
          <w:tcPr>
            <w:tcW w:w="850" w:type="dxa"/>
            <w:vAlign w:val="center"/>
          </w:tcPr>
          <w:p w14:paraId="06604A42">
            <w:pPr>
              <w:widowControl w:val="0"/>
              <w:jc w:val="center"/>
              <w:rPr>
                <w:lang w:val="kk-KZ"/>
              </w:rPr>
            </w:pPr>
          </w:p>
        </w:tc>
      </w:tr>
    </w:tbl>
    <w:p w14:paraId="1A4F9072">
      <w:pPr>
        <w:tabs>
          <w:tab w:val="left" w:pos="8070"/>
        </w:tabs>
        <w:rPr>
          <w:b/>
        </w:rPr>
      </w:pPr>
      <w:r>
        <w:rPr>
          <w:b/>
        </w:rPr>
        <w:tab/>
      </w:r>
    </w:p>
    <w:p w14:paraId="79652566">
      <w:pPr>
        <w:tabs>
          <w:tab w:val="left" w:pos="5205"/>
        </w:tabs>
        <w:rPr>
          <w:b/>
        </w:rPr>
      </w:pPr>
    </w:p>
    <w:p w14:paraId="3858BEE7">
      <w:pPr>
        <w:rPr>
          <w:b/>
        </w:rPr>
      </w:pPr>
    </w:p>
    <w:p w14:paraId="3FA07FB5">
      <w:pPr>
        <w:rPr>
          <w:lang w:val="kk-KZ"/>
        </w:rPr>
      </w:pPr>
      <w:r>
        <w:rPr>
          <w:b/>
        </w:rPr>
        <w:t>Период страхования: О</w:t>
      </w:r>
      <w:r>
        <w:rPr>
          <w:b/>
          <w:lang w:val="kk-KZ"/>
        </w:rPr>
        <w:t xml:space="preserve">С </w:t>
      </w:r>
      <w:r>
        <w:rPr>
          <w:b/>
        </w:rPr>
        <w:t xml:space="preserve">ГПО ВТС -  </w:t>
      </w:r>
      <w:r>
        <w:t>На срок 12 месяцев</w:t>
      </w:r>
      <w:r>
        <w:rPr>
          <w:lang w:val="kk-KZ"/>
        </w:rPr>
        <w:t>.</w:t>
      </w:r>
    </w:p>
    <w:p w14:paraId="0B5009CA">
      <w:pPr>
        <w:tabs>
          <w:tab w:val="left" w:pos="2430"/>
        </w:tabs>
      </w:pPr>
      <w:r>
        <w:tab/>
      </w:r>
    </w:p>
    <w:p w14:paraId="1894455B"/>
    <w:p w14:paraId="0B3565AA"/>
    <w:p w14:paraId="12037476">
      <w:pPr>
        <w:tabs>
          <w:tab w:val="left" w:pos="2430"/>
        </w:tabs>
        <w:jc w:val="right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1-қосымша</w:t>
      </w:r>
    </w:p>
    <w:p w14:paraId="29978F56">
      <w:pPr>
        <w:tabs>
          <w:tab w:val="left" w:pos="2430"/>
        </w:tabs>
        <w:rPr>
          <w:b/>
          <w:bCs/>
          <w:sz w:val="28"/>
          <w:szCs w:val="28"/>
          <w:lang w:val="kk-KZ"/>
        </w:rPr>
      </w:pPr>
    </w:p>
    <w:p w14:paraId="3662A01F">
      <w:pPr>
        <w:tabs>
          <w:tab w:val="left" w:pos="2430"/>
        </w:tabs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Техникалық сипаттамалар</w:t>
      </w:r>
    </w:p>
    <w:p w14:paraId="00A5A2DA">
      <w:pPr>
        <w:tabs>
          <w:tab w:val="left" w:pos="2430"/>
        </w:tabs>
        <w:jc w:val="center"/>
        <w:rPr>
          <w:b/>
          <w:bCs/>
          <w:sz w:val="28"/>
          <w:szCs w:val="28"/>
          <w:lang w:val="kk-KZ"/>
        </w:rPr>
      </w:pPr>
    </w:p>
    <w:p w14:paraId="5E7B58D2">
      <w:pPr>
        <w:tabs>
          <w:tab w:val="left" w:pos="24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kk-KZ"/>
        </w:rPr>
        <w:t>Азаматтық жауапкершілікті сақтандыру қызметтері (CLI)</w:t>
      </w:r>
      <w:r>
        <w:rPr>
          <w:b/>
          <w:bCs/>
          <w:sz w:val="28"/>
          <w:szCs w:val="28"/>
        </w:rPr>
        <w:t>1-qosımşa</w:t>
      </w:r>
    </w:p>
    <w:p w14:paraId="3D0B5CDC">
      <w:pPr>
        <w:tabs>
          <w:tab w:val="left" w:pos="2430"/>
        </w:tabs>
        <w:jc w:val="center"/>
        <w:rPr>
          <w:b/>
          <w:bCs/>
          <w:sz w:val="28"/>
          <w:szCs w:val="28"/>
        </w:rPr>
      </w:pPr>
    </w:p>
    <w:tbl>
      <w:tblPr>
        <w:tblStyle w:val="8"/>
        <w:tblW w:w="0" w:type="auto"/>
        <w:tblInd w:w="-1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560"/>
        <w:gridCol w:w="2126"/>
        <w:gridCol w:w="1701"/>
        <w:gridCol w:w="2835"/>
        <w:gridCol w:w="1418"/>
        <w:gridCol w:w="562"/>
      </w:tblGrid>
      <w:tr w14:paraId="518A8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77F64553">
            <w:pPr>
              <w:tabs>
                <w:tab w:val="left" w:pos="24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560" w:type="dxa"/>
          </w:tcPr>
          <w:p w14:paraId="3DCE867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Түр</w:t>
            </w:r>
          </w:p>
          <w:p w14:paraId="3708C90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сақтандыру</w:t>
            </w:r>
          </w:p>
        </w:tc>
        <w:tc>
          <w:tcPr>
            <w:tcW w:w="2126" w:type="dxa"/>
          </w:tcPr>
          <w:p w14:paraId="67144CC2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Бренд</w:t>
            </w:r>
          </w:p>
        </w:tc>
        <w:tc>
          <w:tcPr>
            <w:tcW w:w="1701" w:type="dxa"/>
          </w:tcPr>
          <w:p w14:paraId="10D1920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Үлгі</w:t>
            </w:r>
          </w:p>
        </w:tc>
        <w:tc>
          <w:tcPr>
            <w:tcW w:w="2835" w:type="dxa"/>
          </w:tcPr>
          <w:p w14:paraId="52DD0C4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</w:t>
            </w:r>
          </w:p>
        </w:tc>
        <w:tc>
          <w:tcPr>
            <w:tcW w:w="1418" w:type="dxa"/>
          </w:tcPr>
          <w:p w14:paraId="052D274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Сақтандыру полисінің мерзімі</w:t>
            </w:r>
          </w:p>
        </w:tc>
        <w:tc>
          <w:tcPr>
            <w:tcW w:w="562" w:type="dxa"/>
          </w:tcPr>
          <w:p w14:paraId="3047E78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45DB3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4B6E9DD4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6DA9BC3C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>С</w:t>
            </w:r>
            <w:r>
              <w:rPr>
                <w:b/>
                <w:bCs/>
                <w:color w:val="C9211E"/>
                <w:sz w:val="20"/>
              </w:rPr>
              <w:t xml:space="preserve"> ПП  ВТС</w:t>
            </w:r>
          </w:p>
        </w:tc>
        <w:tc>
          <w:tcPr>
            <w:tcW w:w="2126" w:type="dxa"/>
          </w:tcPr>
          <w:p w14:paraId="23A72B0E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rFonts w:ascii="monospace" w:hAnsi="monospace"/>
                <w:color w:val="000000"/>
                <w:lang w:val="en-US"/>
              </w:rPr>
              <w:t>JAC SUNRAY M209G-05</w:t>
            </w:r>
          </w:p>
        </w:tc>
        <w:tc>
          <w:tcPr>
            <w:tcW w:w="1701" w:type="dxa"/>
          </w:tcPr>
          <w:p w14:paraId="5F2B893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rFonts w:ascii="Tahoma;Arial;Helvetica;sans-ser" w:hAnsi="Tahoma;Arial;Helvetica;sans-ser"/>
                <w:color w:val="000000"/>
                <w:sz w:val="17"/>
                <w:lang w:val="en-US"/>
              </w:rPr>
              <w:t>JAC SUNRAY M209G-05</w:t>
            </w:r>
          </w:p>
        </w:tc>
        <w:tc>
          <w:tcPr>
            <w:tcW w:w="2835" w:type="dxa"/>
          </w:tcPr>
          <w:p w14:paraId="243C91C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9211E"/>
                <w:sz w:val="20"/>
                <w:lang w:val="en-US"/>
              </w:rPr>
              <w:t>D</w:t>
            </w:r>
          </w:p>
        </w:tc>
        <w:tc>
          <w:tcPr>
            <w:tcW w:w="1418" w:type="dxa"/>
          </w:tcPr>
          <w:p w14:paraId="42B11DA4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562" w:type="dxa"/>
          </w:tcPr>
          <w:p w14:paraId="1FCAE5B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60A17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059BC84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445EC67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2F0EDC5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FDE61ED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415FA64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D79DE6A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562" w:type="dxa"/>
          </w:tcPr>
          <w:p w14:paraId="175630F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3901A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2D67E3C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059B39B8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F020031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ACE220D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50FD4D2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0859189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dxa"/>
          </w:tcPr>
          <w:p w14:paraId="3F2CE95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  <w:tr w14:paraId="7BC71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0FAE9DB4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38E4AFDF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383BE1AB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C4D26EC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66DB28B6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0B5CD6D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62" w:type="dxa"/>
          </w:tcPr>
          <w:p w14:paraId="59967303">
            <w:pPr>
              <w:tabs>
                <w:tab w:val="left" w:pos="243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20EC9C3C">
      <w:pPr>
        <w:tabs>
          <w:tab w:val="left" w:pos="2430"/>
        </w:tabs>
        <w:jc w:val="center"/>
        <w:rPr>
          <w:sz w:val="28"/>
          <w:szCs w:val="28"/>
        </w:rPr>
      </w:pPr>
    </w:p>
    <w:p w14:paraId="30327181"/>
    <w:p w14:paraId="1A393530">
      <w:r>
        <w:rPr>
          <w:b/>
          <w:bCs/>
        </w:rPr>
        <w:t>Сақтандыру мерзімі: OS GPO VTS</w:t>
      </w:r>
      <w:r>
        <w:t xml:space="preserve"> - 12 ай мерзімге.</w:t>
      </w:r>
    </w:p>
    <w:p w14:paraId="1FBA2551"/>
    <w:p w14:paraId="433654B7"/>
    <w:p w14:paraId="1A89E7AD"/>
    <w:p w14:paraId="3789A52D"/>
    <w:p w14:paraId="36927435"/>
    <w:p w14:paraId="2B80EC52">
      <w:r>
        <w:t>Сақтандыру мерзімі: OS GPO VTS - 12 ай мерзімге.</w:t>
      </w:r>
    </w:p>
    <w:p w14:paraId="0BF6E22E"/>
    <w:p w14:paraId="194FB0C4"/>
    <w:p w14:paraId="213D0F92"/>
    <w:p w14:paraId="3E8B08A4"/>
    <w:p w14:paraId="76D742AF"/>
    <w:p w14:paraId="3B261BE0"/>
    <w:p w14:paraId="40083438"/>
    <w:p w14:paraId="15C82C00"/>
    <w:p w14:paraId="3B4CC5CE"/>
    <w:p w14:paraId="0B4D4675"/>
    <w:p w14:paraId="2E94A915"/>
    <w:p w14:paraId="18275569"/>
    <w:p w14:paraId="38045B43"/>
    <w:p w14:paraId="1A2DE312"/>
    <w:p w14:paraId="6D6CF92F"/>
    <w:p w14:paraId="08A08381"/>
    <w:p w14:paraId="10E1900F"/>
    <w:p w14:paraId="386038A9"/>
    <w:p w14:paraId="5E6A817C"/>
    <w:p w14:paraId="36F666F0"/>
    <w:p w14:paraId="25D7C674"/>
    <w:p w14:paraId="61E50BA2">
      <w:pPr>
        <w:jc w:val="right"/>
        <w:rPr>
          <w:b/>
          <w:sz w:val="28"/>
          <w:szCs w:val="28"/>
        </w:rPr>
      </w:pPr>
    </w:p>
    <w:p w14:paraId="2AFC283C">
      <w:pPr>
        <w:rPr>
          <w:b/>
          <w:sz w:val="28"/>
          <w:szCs w:val="28"/>
        </w:rPr>
      </w:pPr>
    </w:p>
    <w:sectPr>
      <w:type w:val="continuous"/>
      <w:pgSz w:w="11906" w:h="16838"/>
      <w:pgMar w:top="1134" w:right="707" w:bottom="709" w:left="1701" w:header="0" w:footer="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onospace">
    <w:altName w:val="Cambria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;Arial;Helvetica;sans-se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67"/>
    <w:rsid w:val="000B084A"/>
    <w:rsid w:val="00154867"/>
    <w:rsid w:val="003A4149"/>
    <w:rsid w:val="00DF00BC"/>
    <w:rsid w:val="206B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40" w:line="276" w:lineRule="auto"/>
    </w:pPr>
  </w:style>
  <w:style w:type="paragraph" w:styleId="5">
    <w:name w:val="index heading"/>
    <w:basedOn w:val="1"/>
    <w:qFormat/>
    <w:uiPriority w:val="0"/>
    <w:pPr>
      <w:suppressLineNumbers/>
    </w:pPr>
    <w:rPr>
      <w:rFonts w:cs="Arial"/>
    </w:rPr>
  </w:style>
  <w:style w:type="paragraph" w:styleId="6">
    <w:name w:val="Title"/>
    <w:basedOn w:val="1"/>
    <w:qFormat/>
    <w:uiPriority w:val="0"/>
    <w:pPr>
      <w:jc w:val="center"/>
    </w:pPr>
    <w:rPr>
      <w:b/>
    </w:rPr>
  </w:style>
  <w:style w:type="paragraph" w:styleId="7">
    <w:name w:val="List"/>
    <w:basedOn w:val="4"/>
    <w:qFormat/>
    <w:uiPriority w:val="0"/>
    <w:rPr>
      <w:rFonts w:cs="Arial"/>
    </w:r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 11"/>
    <w:basedOn w:val="1"/>
    <w:next w:val="1"/>
    <w:qFormat/>
    <w:uiPriority w:val="0"/>
    <w:pPr>
      <w:keepNext/>
      <w:jc w:val="center"/>
      <w:outlineLvl w:val="0"/>
    </w:pPr>
    <w:rPr>
      <w:b/>
      <w:sz w:val="32"/>
    </w:rPr>
  </w:style>
  <w:style w:type="paragraph" w:customStyle="1" w:styleId="10">
    <w:name w:val="Заголовок1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1">
    <w:name w:val="Название объекта1"/>
    <w:basedOn w:val="1"/>
    <w:qFormat/>
    <w:uiPriority w:val="0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Содержимое таблицы"/>
    <w:basedOn w:val="1"/>
    <w:qFormat/>
    <w:uiPriority w:val="0"/>
    <w:pPr>
      <w:widowControl w:val="0"/>
      <w:suppressLineNumbers/>
    </w:pPr>
  </w:style>
  <w:style w:type="paragraph" w:customStyle="1" w:styleId="13">
    <w:name w:val="Заголовок таблицы"/>
    <w:basedOn w:val="12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773A7-F0E5-4770-B496-F0E74431F9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2</Pages>
  <Words>96</Words>
  <Characters>511</Characters>
  <Lines>5</Lines>
  <Paragraphs>1</Paragraphs>
  <TotalTime>1</TotalTime>
  <ScaleCrop>false</ScaleCrop>
  <LinksUpToDate>false</LinksUpToDate>
  <CharactersWithSpaces>615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2026-10-09T04:52:00Z</dcterms:created>
  <dc:creator>Yerzhan Tanabaev</dc:creator>
  <cp:lastModifiedBy>GuardLight</cp:lastModifiedBy>
  <cp:lastPrinted>2018-09-07T05:07:00Z</cp:lastPrinted>
  <dcterms:modified xsi:type="dcterms:W3CDTF">2026-10-13T08:31:38Z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1049-12.1.0.28485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ICV">
    <vt:lpwstr>30086157A0BC43B393445AD3E3DD7B07_13</vt:lpwstr>
  </property>
</Properties>
</file>