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Arial" w:hAnsi="Arial" w:eastAsia="Arial"/>
          <w:b/>
          <w:sz w:val="28"/>
        </w:rPr>
        <w:t>ТЕХНИЧЕСКАЯ СПЕЦИФИКАЦИЯ</w:t>
      </w:r>
    </w:p>
    <w:p>
      <w:pPr>
        <w:jc w:val="center"/>
      </w:pPr>
      <w:r>
        <w:rPr>
          <w:rFonts w:ascii="Arial" w:hAnsi="Arial" w:eastAsia="Arial"/>
          <w:b/>
          <w:sz w:val="24"/>
        </w:rPr>
        <w:t>«Работы по ремонту, восстановлению и дооснащению существующей системы пожарной сигнализации»</w:t>
      </w:r>
    </w:p>
    <w:p>
      <w:pPr>
        <w:spacing w:before="120" w:after="60"/>
      </w:pPr>
      <w:r>
        <w:rPr>
          <w:rFonts w:ascii="Arial" w:hAnsi="Arial" w:eastAsia="Arial"/>
          <w:b/>
          <w:sz w:val="22"/>
        </w:rPr>
        <w:t>1. Предмет и цель работ</w:t>
      </w:r>
    </w:p>
    <w:p>
      <w:pPr>
        <w:spacing w:after="60" w:line="252" w:lineRule="auto"/>
      </w:pPr>
      <w:r>
        <w:rPr>
          <w:rFonts w:ascii="Arial" w:hAnsi="Arial" w:eastAsia="Arial"/>
        </w:rPr>
        <w:t>Предметом закупки является выполнение единого комплекса работ по обследованию, ремонту, восстановлению и дооснащению существующей системы пожарной сигнализации объекта с поставкой необходимых оборудования и материалов, монтажом, заменой и восстановлением элементов, прокладкой кабельных линий, подключением, наладкой, проверкой шлейфов, пусконаладочными работами, функциональными испытаниями и передачей Заказчику исправной и работоспособной системы в пределах объема настоящей технической спецификации.</w:t>
      </w:r>
    </w:p>
    <w:p>
      <w:pPr>
        <w:spacing w:after="60" w:line="252" w:lineRule="auto"/>
      </w:pPr>
      <w:r>
        <w:rPr>
          <w:rFonts w:ascii="Arial" w:hAnsi="Arial" w:eastAsia="Arial"/>
        </w:rPr>
        <w:t>Поставка оборудования и материалов является составной частью результата работ. Все необходимые для выполнения предусмотренного объема работ оборудование, материалы, крепеж, расходные материалы, доставка, монтаж, подключение, настройка, испытания, уборка и вывоз упаковки учитываются в цене работ и отдельно Заказчиком не оплачиваются.</w:t>
      </w:r>
    </w:p>
    <w:p>
      <w:pPr>
        <w:spacing w:before="120" w:after="60"/>
      </w:pPr>
      <w:r>
        <w:rPr>
          <w:rFonts w:ascii="Arial" w:hAnsi="Arial" w:eastAsia="Arial"/>
          <w:b/>
          <w:sz w:val="22"/>
        </w:rPr>
        <w:t>2. Исходный объем оборудования, материалов и работ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64"/>
        <w:gridCol w:w="2564"/>
        <w:gridCol w:w="2564"/>
        <w:gridCol w:w="2564"/>
      </w:tblGrid>
      <w:tr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b/>
                <w:sz w:val="18"/>
              </w:rPr>
              <w:t>№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b/>
                <w:sz w:val="18"/>
              </w:rPr>
              <w:t>Наименование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b/>
                <w:sz w:val="18"/>
              </w:rPr>
              <w:t>Характеристика / содержание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b/>
                <w:sz w:val="18"/>
              </w:rPr>
              <w:t>Количество</w:t>
            </w:r>
          </w:p>
        </w:tc>
      </w:tr>
      <w:tr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1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Извещатель пожарный дымовой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ИП 212-141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75 шт.</w:t>
            </w:r>
          </w:p>
        </w:tc>
      </w:tr>
      <w:tr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2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Извещатель пожарный тепловой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для существующей системы пожарной сигнализации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5 шт.</w:t>
            </w:r>
          </w:p>
        </w:tc>
      </w:tr>
      <w:tr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3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Монтаж пожарных извещателей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монтаж, подключение к существующим шлейфам и проверка работоспособности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60 точек</w:t>
            </w:r>
          </w:p>
        </w:tc>
      </w:tr>
      <w:tr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4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Световой/комбинированный оповещатель «Шығу-Выход»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для обозначения эвакуационного выхода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14 шт.</w:t>
            </w:r>
          </w:p>
        </w:tc>
      </w:tr>
      <w:tr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5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Монтаж и подключение оповещателей «Шығу-Выход»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с проверкой линии и работоспособности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14 точек</w:t>
            </w:r>
          </w:p>
        </w:tc>
      </w:tr>
      <w:tr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6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Извещатель пожарный ручной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совместимый с существующей системой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8 шт.</w:t>
            </w:r>
          </w:p>
        </w:tc>
      </w:tr>
      <w:tr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7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Монтаж и подключение ручного пожарного извещателя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с функциональной проверкой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8 точек</w:t>
            </w:r>
          </w:p>
        </w:tc>
      </w:tr>
      <w:tr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8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Кабель монтажный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КСПВ 4×0,5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2 бухты</w:t>
            </w:r>
          </w:p>
        </w:tc>
      </w:tr>
      <w:tr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9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Прокладка кабеля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в кабель-канале / по согласованной трассе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400 м</w:t>
            </w:r>
          </w:p>
        </w:tc>
      </w:tr>
      <w:tr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10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Кабель-канал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отрезки по 2 м</w:t>
            </w:r>
          </w:p>
        </w:tc>
        <w:tc>
          <w:tcPr>
            <w:tcW w:type="dxa" w:w="2564"/>
            <w:vAlign w:val="center"/>
          </w:tcPr>
          <w:p>
            <w:r>
              <w:rPr>
                <w:rFonts w:ascii="Arial" w:hAnsi="Arial" w:eastAsia="Arial"/>
                <w:sz w:val="18"/>
              </w:rPr>
              <w:t>150 шт. (300 м)</w:t>
            </w:r>
          </w:p>
        </w:tc>
      </w:tr>
    </w:tbl>
    <w:p>
      <w:pPr>
        <w:spacing w:after="60" w:line="252" w:lineRule="auto"/>
      </w:pPr>
      <w:r>
        <w:rPr>
          <w:rFonts w:ascii="Arial" w:hAnsi="Arial" w:eastAsia="Arial"/>
        </w:rPr>
        <w:t>Примечание: коммерческое предложение содержит 75 дымовых и 5 тепловых извещателей, при этом отдельная позиция монтажа автоматических пожарных извещателей указана в количестве 60 точек. Настоящая техническая спецификация сохраняет исходные количества коммерческого предложения. Фактические точки замены/установки определяются по результатам обследования и согласуются с Заказчиком в пределах предусмотренного договором объема.</w:t>
      </w:r>
    </w:p>
    <w:p>
      <w:pPr>
        <w:spacing w:before="120" w:after="60"/>
      </w:pPr>
      <w:r>
        <w:rPr>
          <w:rFonts w:ascii="Arial" w:hAnsi="Arial" w:eastAsia="Arial"/>
          <w:b/>
          <w:sz w:val="22"/>
        </w:rPr>
        <w:t>3. Обязательное полное обследование существующей системы</w:t>
      </w:r>
    </w:p>
    <w:p>
      <w:pPr>
        <w:spacing w:after="60" w:line="252" w:lineRule="auto"/>
      </w:pPr>
      <w:r>
        <w:rPr>
          <w:rFonts w:ascii="Arial" w:hAnsi="Arial" w:eastAsia="Arial"/>
        </w:rPr>
        <w:t>До начала монтажных работ Подрядчик обязан провести полное обследование существующей системы пожарной сигнализации объекта в пределах обслуживаемой системы и зон выполнения работ: проверить состояние пожарных извещателей, ручных извещателей, световых оповещателей, шлейфов, кабельных линий, соединений и доступного приемно-контрольного оборудования.</w:t>
      </w:r>
    </w:p>
    <w:p>
      <w:pPr>
        <w:spacing w:after="60" w:line="252" w:lineRule="auto"/>
      </w:pPr>
      <w:r>
        <w:rPr>
          <w:rFonts w:ascii="Arial" w:hAnsi="Arial" w:eastAsia="Arial"/>
        </w:rPr>
        <w:t>По результатам обследования Подрядчик выявляет неработающие или некорректно работающие устройства, обрывы, короткие замыкания, повреждения кабеля, нарушения соединений и иные неисправности, влияющие на работоспособность системы.</w:t>
      </w:r>
    </w:p>
    <w:p>
      <w:pPr>
        <w:spacing w:after="60" w:line="252" w:lineRule="auto"/>
      </w:pPr>
      <w:r>
        <w:rPr>
          <w:rFonts w:ascii="Arial" w:hAnsi="Arial" w:eastAsia="Arial"/>
        </w:rPr>
        <w:t>Все выявленные неисправности и дефекты, относящиеся к предусмотренному настоящей технической спецификацией объему ремонта, восстановления и дооснащения, Подрядчик обязан устранить своими силами и за свой счет без предъявления Заказчику дополнительных расходов. Если выявлена неисправность, устранение которой объективно требует выполнения работ или поставки оборудования, не предусмотренных настоящей технической спецификацией и договором, Подрядчик обязан до выполнения таких дополнительных работ письменно уведомить Заказчика и зафиксировать дефект актом обследования.</w:t>
      </w:r>
    </w:p>
    <w:p>
      <w:pPr>
        <w:spacing w:after="60" w:line="252" w:lineRule="auto"/>
      </w:pPr>
      <w:r>
        <w:rPr>
          <w:rFonts w:ascii="Arial" w:hAnsi="Arial" w:eastAsia="Arial"/>
        </w:rPr>
        <w:t>После устранения неисправностей проводится повторная функциональная проверка. Результаты первичного обследования, выявленные дефекты, выполненные мероприятия и итоговое состояние системы отражаются в акте обследования и исполнительной документации.</w:t>
      </w:r>
    </w:p>
    <w:p>
      <w:pPr>
        <w:spacing w:before="120" w:after="60"/>
      </w:pPr>
      <w:r>
        <w:rPr>
          <w:rFonts w:ascii="Arial" w:hAnsi="Arial" w:eastAsia="Arial"/>
          <w:b/>
          <w:sz w:val="22"/>
        </w:rPr>
        <w:t>4. Требования к оборудованию и материалам</w:t>
      </w:r>
    </w:p>
    <w:p>
      <w:pPr>
        <w:spacing w:after="60" w:line="252" w:lineRule="auto"/>
      </w:pPr>
      <w:r>
        <w:rPr>
          <w:rFonts w:ascii="Arial" w:hAnsi="Arial" w:eastAsia="Arial"/>
        </w:rPr>
        <w:t>Все поставляемое оборудование должно быть новым, ранее не использованным, без повреждений и следов эксплуатации, пригодным для применения по назначению и совместимым с существующей системой пожарной сигнализации объекта.</w:t>
      </w:r>
    </w:p>
    <w:p>
      <w:pPr>
        <w:spacing w:after="60" w:line="252" w:lineRule="auto"/>
      </w:pPr>
      <w:r>
        <w:rPr>
          <w:rFonts w:ascii="Arial" w:hAnsi="Arial" w:eastAsia="Arial"/>
        </w:rPr>
        <w:t>Дымовые извещатели должны обеспечивать автоматическое обнаружение признаков задымления и формирование соответствующего сигнала в существующем шлейфе. Тепловые извещатели должны обеспечивать формирование сигнала при наступлении предусмотренных для применяемого исполнения температурных условий. Ручные извещатели должны обеспечивать ручное формирование сигнала «Пожар».</w:t>
      </w:r>
    </w:p>
    <w:p>
      <w:pPr>
        <w:spacing w:after="60" w:line="252" w:lineRule="auto"/>
      </w:pPr>
      <w:r>
        <w:rPr>
          <w:rFonts w:ascii="Arial" w:hAnsi="Arial" w:eastAsia="Arial"/>
        </w:rPr>
        <w:t>Оповещатели «Шығу-Выход» должны обеспечивать четкую визуальную индикацию эвакуационного выхода и устойчивую работу после подключения к предусмотренной схеме.</w:t>
      </w:r>
    </w:p>
    <w:p>
      <w:pPr>
        <w:spacing w:after="60" w:line="252" w:lineRule="auto"/>
      </w:pPr>
      <w:r>
        <w:rPr>
          <w:rFonts w:ascii="Arial" w:hAnsi="Arial" w:eastAsia="Arial"/>
        </w:rPr>
        <w:t>На поставляемое оборудование и материалы Подрядчик передает документы о соответствии обязательным требованиям технического регулирования, паспорта/руководства и гарантийные документы, если такие документы предусмотрены законодательством или изготовителем.</w:t>
      </w:r>
    </w:p>
    <w:p>
      <w:pPr>
        <w:spacing w:before="120" w:after="60"/>
      </w:pPr>
      <w:r>
        <w:rPr>
          <w:rFonts w:ascii="Arial" w:hAnsi="Arial" w:eastAsia="Arial"/>
          <w:b/>
          <w:sz w:val="22"/>
        </w:rPr>
        <w:t>5. Кабельные линии и монтаж</w:t>
      </w:r>
    </w:p>
    <w:p>
      <w:pPr>
        <w:spacing w:after="60" w:line="252" w:lineRule="auto"/>
      </w:pPr>
      <w:r>
        <w:rPr>
          <w:rFonts w:ascii="Arial" w:hAnsi="Arial" w:eastAsia="Arial"/>
        </w:rPr>
        <w:t>Прокладку новых кабельных линий выполнять аккуратно, с механической защитой и надежным креплением. На предусмотренных участках кабель прокладывается в новом кабель-канале. Открытые незащищенные соединения и ненадежные скрутки не допускаются.</w:t>
      </w:r>
    </w:p>
    <w:p>
      <w:pPr>
        <w:spacing w:after="60" w:line="252" w:lineRule="auto"/>
      </w:pPr>
      <w:r>
        <w:rPr>
          <w:rFonts w:ascii="Arial" w:hAnsi="Arial" w:eastAsia="Arial"/>
        </w:rPr>
        <w:t>Подрядчику запрещается без письменного согласования с Заказчиком вмешиваться в сторонние инженерные сети объекта, повреждать, переносить, отключать или изменять действующие электрические, сетевые и иные коммуникации, не относящиеся к предмету работ.</w:t>
      </w:r>
    </w:p>
    <w:p>
      <w:pPr>
        <w:spacing w:after="60" w:line="252" w:lineRule="auto"/>
      </w:pPr>
      <w:r>
        <w:rPr>
          <w:rFonts w:ascii="Arial" w:hAnsi="Arial" w:eastAsia="Arial"/>
        </w:rPr>
        <w:t>После каждой рабочей смены открытые участки должны быть приведены в безопасное состояние, кабель-каналы закрыты, монтажный мусор и упаковка убраны.</w:t>
      </w:r>
    </w:p>
    <w:p>
      <w:pPr>
        <w:spacing w:before="120" w:after="60"/>
      </w:pPr>
      <w:r>
        <w:rPr>
          <w:rFonts w:ascii="Arial" w:hAnsi="Arial" w:eastAsia="Arial"/>
          <w:b/>
          <w:sz w:val="22"/>
        </w:rPr>
        <w:t>6. Режим выполнения работ</w:t>
      </w:r>
    </w:p>
    <w:p>
      <w:pPr>
        <w:spacing w:after="60" w:line="252" w:lineRule="auto"/>
      </w:pPr>
      <w:r>
        <w:rPr>
          <w:rFonts w:ascii="Arial" w:hAnsi="Arial" w:eastAsia="Arial"/>
        </w:rPr>
        <w:t>Работы на объекте выполняются в рабочие дни с 18:30 до 21:30 после завершения основного рабочего/учебного процесса, а также в выходные дни по предварительному согласованию времени доступа с ответственным представителем Заказчика.</w:t>
      </w:r>
    </w:p>
    <w:p>
      <w:pPr>
        <w:spacing w:after="60" w:line="252" w:lineRule="auto"/>
      </w:pPr>
      <w:r>
        <w:rPr>
          <w:rFonts w:ascii="Arial" w:hAnsi="Arial" w:eastAsia="Arial"/>
        </w:rPr>
        <w:t>Выполнение работ в иное время допускается только по предварительному согласованию с Заказчиком. Подрядчик обязан организовать работы таким образом, чтобы не препятствовать деятельности объекта, обеспечить безопасность людей и сохранность имущества.</w:t>
      </w:r>
    </w:p>
    <w:p>
      <w:pPr>
        <w:spacing w:before="120" w:after="60"/>
      </w:pPr>
      <w:r>
        <w:rPr>
          <w:rFonts w:ascii="Arial" w:hAnsi="Arial" w:eastAsia="Arial"/>
          <w:b/>
          <w:sz w:val="22"/>
        </w:rPr>
        <w:t>7. Подключение, наладка и функциональные испытания</w:t>
      </w:r>
    </w:p>
    <w:p>
      <w:pPr>
        <w:spacing w:after="60" w:line="252" w:lineRule="auto"/>
      </w:pPr>
      <w:r>
        <w:rPr>
          <w:rFonts w:ascii="Arial" w:hAnsi="Arial" w:eastAsia="Arial"/>
        </w:rPr>
        <w:t>Все установленные и замененные устройства подключаются к существующей системе с учетом ее фактической схемы и технической совместимости. После монтажа Подрядчик обязан выполнить наладку и функциональную проверку установленных дымовых, тепловых и ручных извещателей, оповещателей «Шығу-Выход», вновь проложенных и восстановленных кабельных линий и соответствующих шлейфов.</w:t>
      </w:r>
    </w:p>
    <w:p>
      <w:pPr>
        <w:spacing w:after="60" w:line="252" w:lineRule="auto"/>
      </w:pPr>
      <w:r>
        <w:rPr>
          <w:rFonts w:ascii="Arial" w:hAnsi="Arial" w:eastAsia="Arial"/>
        </w:rPr>
        <w:t>При проверке должны быть подтверждены отсутствие обрывов и коротких замыканий на выполненных участках, корректное формирование сигналов от проверяемых извещателей, прохождение сигналов до приемно-контрольного оборудования и работоспособность оповещателей в пределах предусмотренной схемы.</w:t>
      </w:r>
    </w:p>
    <w:p>
      <w:pPr>
        <w:spacing w:after="60" w:line="252" w:lineRule="auto"/>
      </w:pPr>
      <w:r>
        <w:rPr>
          <w:rFonts w:ascii="Arial" w:hAnsi="Arial" w:eastAsia="Arial"/>
        </w:rPr>
        <w:t>Выявленные при испытаниях недостатки, относящиеся к выполненным Подрядчиком работам, устраняются Подрядчиком до сдачи результата работ без дополнительной оплаты.</w:t>
      </w:r>
    </w:p>
    <w:p>
      <w:pPr>
        <w:spacing w:before="120" w:after="60"/>
      </w:pPr>
      <w:r>
        <w:rPr>
          <w:rFonts w:ascii="Arial" w:hAnsi="Arial" w:eastAsia="Arial"/>
          <w:b/>
          <w:sz w:val="22"/>
        </w:rPr>
        <w:t>8. Разрешительные документы</w:t>
      </w:r>
    </w:p>
    <w:p>
      <w:pPr>
        <w:spacing w:after="60" w:line="252" w:lineRule="auto"/>
      </w:pPr>
      <w:r>
        <w:rPr>
          <w:rFonts w:ascii="Arial" w:hAnsi="Arial" w:eastAsia="Arial"/>
        </w:rPr>
        <w:t>Подрядчик должен иметь действующее разрешение на осуществление деятельности по монтажу, наладке и техническому обслуживанию систем пожарной автоматики, выданное ведомством уполномоченного органа Республики Казахстан, если выполняемые по договору работы относятся к деятельности, для которой законодательством Республики Казахстан установлено наличие такого разрешения.</w:t>
      </w:r>
    </w:p>
    <w:p>
      <w:pPr>
        <w:spacing w:after="60" w:line="252" w:lineRule="auto"/>
      </w:pPr>
      <w:r>
        <w:rPr>
          <w:rFonts w:ascii="Arial" w:hAnsi="Arial" w:eastAsia="Arial"/>
        </w:rPr>
        <w:t>По требованию Заказчика Подрядчик предоставляет сведения и документы, позволяющие проверить действительность соответствующего разрешения в государственных информационных системах. Документы должны быть действующими в период выполнения работ.</w:t>
      </w:r>
    </w:p>
    <w:p>
      <w:pPr>
        <w:spacing w:after="60" w:line="252" w:lineRule="auto"/>
      </w:pPr>
      <w:r>
        <w:rPr>
          <w:rFonts w:ascii="Arial" w:hAnsi="Arial" w:eastAsia="Arial"/>
        </w:rPr>
        <w:t>Настоящее требование не заменяет и не расширяет квалификационные требования, которые устанавливаются закупочной документацией и законодательством Республики Казахстан в предусмотренном порядке.</w:t>
      </w:r>
    </w:p>
    <w:p>
      <w:pPr>
        <w:spacing w:before="120" w:after="60"/>
      </w:pPr>
      <w:r>
        <w:rPr>
          <w:rFonts w:ascii="Arial" w:hAnsi="Arial" w:eastAsia="Arial"/>
          <w:b/>
          <w:sz w:val="22"/>
        </w:rPr>
        <w:t>9. Исполнительная документация и акт установки</w:t>
      </w:r>
    </w:p>
    <w:p>
      <w:pPr>
        <w:spacing w:after="60" w:line="252" w:lineRule="auto"/>
      </w:pPr>
      <w:r>
        <w:rPr>
          <w:rFonts w:ascii="Arial" w:hAnsi="Arial" w:eastAsia="Arial"/>
        </w:rPr>
        <w:t>После полного завершения работ Подрядчик обязан оформить и передать Заказчику акт установки, монтажа, подключения, наладки и проверки работоспособности системы пожарной сигнализации.</w:t>
      </w:r>
    </w:p>
    <w:p>
      <w:pPr>
        <w:spacing w:after="60" w:line="252" w:lineRule="auto"/>
      </w:pPr>
      <w:r>
        <w:rPr>
          <w:rFonts w:ascii="Arial" w:hAnsi="Arial" w:eastAsia="Arial"/>
        </w:rPr>
        <w:t>Акт должен содержать: наименование и адрес объекта; номер и дату договора; даты начала и окончания работ; перечень фактически установленного и замененного оборудования с указанием наименования, модели, количества и серийных номеров при их наличии; места установки оборудования; сведения о фактически проложенных/восстановленных кабельных линиях и кабель-каналах; результаты проверки шлейфов и функциональных испытаний; сведения о выявленных неисправностях и выполненных мероприятиях по их устранению.</w:t>
      </w:r>
    </w:p>
    <w:p>
      <w:pPr>
        <w:spacing w:after="60" w:line="252" w:lineRule="auto"/>
      </w:pPr>
      <w:r>
        <w:rPr>
          <w:rFonts w:ascii="Arial" w:hAnsi="Arial" w:eastAsia="Arial"/>
        </w:rPr>
        <w:t>К акту прилагаются:</w:t>
      </w:r>
    </w:p>
    <w:p>
      <w:pPr>
        <w:spacing w:after="60" w:line="252" w:lineRule="auto"/>
      </w:pPr>
      <w:r>
        <w:rPr>
          <w:rFonts w:ascii="Arial" w:hAnsi="Arial" w:eastAsia="Arial"/>
        </w:rPr>
        <w:t>1) ведомость фактически установленного оборудования и использованных материалов;</w:t>
      </w:r>
    </w:p>
    <w:p>
      <w:pPr>
        <w:spacing w:after="60" w:line="252" w:lineRule="auto"/>
      </w:pPr>
      <w:r>
        <w:rPr>
          <w:rFonts w:ascii="Arial" w:hAnsi="Arial" w:eastAsia="Arial"/>
        </w:rPr>
        <w:t>2) исполнительная схема размещения установленного/замененного оборудования и выполненных кабельных трасс в объеме фактически выполненных работ;</w:t>
      </w:r>
    </w:p>
    <w:p>
      <w:pPr>
        <w:spacing w:after="60" w:line="252" w:lineRule="auto"/>
      </w:pPr>
      <w:r>
        <w:rPr>
          <w:rFonts w:ascii="Arial" w:hAnsi="Arial" w:eastAsia="Arial"/>
        </w:rPr>
        <w:t>3) акт обследования с перечнем выявленных неисправностей и сведениями об их устранении;</w:t>
      </w:r>
    </w:p>
    <w:p>
      <w:pPr>
        <w:spacing w:after="60" w:line="252" w:lineRule="auto"/>
      </w:pPr>
      <w:r>
        <w:rPr>
          <w:rFonts w:ascii="Arial" w:hAnsi="Arial" w:eastAsia="Arial"/>
        </w:rPr>
        <w:t>4) протокол/акт функциональной проверки системы после выполнения работ;</w:t>
      </w:r>
    </w:p>
    <w:p>
      <w:pPr>
        <w:spacing w:after="60" w:line="252" w:lineRule="auto"/>
      </w:pPr>
      <w:r>
        <w:rPr>
          <w:rFonts w:ascii="Arial" w:hAnsi="Arial" w:eastAsia="Arial"/>
        </w:rPr>
        <w:t>5) документы о соответствии, паспорта и гарантийные документы на установленное оборудование в предусмотренных случаях;</w:t>
      </w:r>
    </w:p>
    <w:p>
      <w:pPr>
        <w:spacing w:after="60" w:line="252" w:lineRule="auto"/>
      </w:pPr>
      <w:r>
        <w:rPr>
          <w:rFonts w:ascii="Arial" w:hAnsi="Arial" w:eastAsia="Arial"/>
        </w:rPr>
        <w:t>6) копия или сведения о действующем разрешительном документе на осуществление деятельности по монтажу, наладке и техническому обслуживанию систем пожарной автоматики, когда его наличие требуется законодательством.</w:t>
      </w:r>
    </w:p>
    <w:p>
      <w:pPr>
        <w:spacing w:after="60" w:line="252" w:lineRule="auto"/>
      </w:pPr>
      <w:r>
        <w:rPr>
          <w:rFonts w:ascii="Arial" w:hAnsi="Arial" w:eastAsia="Arial"/>
        </w:rPr>
        <w:t>Акт подписывается уполномоченными представителями Подрядчика и Заказчика после завершения монтажа, устранения относящихся к договорному объему замечаний и успешного прохождения функциональной проверки. Передача оборудования без монтажа, подключения, проверки и передачи предусмотренной исполнительной документации не является полным исполнением обязательств.</w:t>
      </w:r>
    </w:p>
    <w:p>
      <w:pPr>
        <w:spacing w:before="120" w:after="60"/>
      </w:pPr>
      <w:r>
        <w:rPr>
          <w:rFonts w:ascii="Arial" w:hAnsi="Arial" w:eastAsia="Arial"/>
          <w:b/>
          <w:sz w:val="22"/>
        </w:rPr>
        <w:t>10. Приемка результата работ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19"/>
        <w:gridCol w:w="3419"/>
        <w:gridCol w:w="3419"/>
      </w:tblGrid>
      <w:tr>
        <w:tc>
          <w:tcPr>
            <w:tcW w:type="dxa" w:w="3419"/>
          </w:tcPr>
          <w:p>
            <w:r>
              <w:rPr>
                <w:rFonts w:ascii="Arial" w:hAnsi="Arial" w:eastAsia="Arial"/>
                <w:b/>
                <w:sz w:val="18"/>
              </w:rPr>
              <w:t>Проверка</w:t>
            </w:r>
          </w:p>
        </w:tc>
        <w:tc>
          <w:tcPr>
            <w:tcW w:type="dxa" w:w="3419"/>
          </w:tcPr>
          <w:p>
            <w:r>
              <w:rPr>
                <w:rFonts w:ascii="Arial" w:hAnsi="Arial" w:eastAsia="Arial"/>
                <w:b/>
                <w:sz w:val="18"/>
              </w:rPr>
              <w:t>Метод</w:t>
            </w:r>
          </w:p>
        </w:tc>
        <w:tc>
          <w:tcPr>
            <w:tcW w:type="dxa" w:w="3419"/>
          </w:tcPr>
          <w:p>
            <w:r>
              <w:rPr>
                <w:rFonts w:ascii="Arial" w:hAnsi="Arial" w:eastAsia="Arial"/>
                <w:b/>
                <w:sz w:val="18"/>
              </w:rPr>
              <w:t>Критерий приемки</w:t>
            </w:r>
          </w:p>
        </w:tc>
      </w:tr>
      <w:tr>
        <w:tc>
          <w:tcPr>
            <w:tcW w:type="dxa" w:w="3419"/>
          </w:tcPr>
          <w:p>
            <w:r>
              <w:rPr>
                <w:rFonts w:ascii="Arial" w:hAnsi="Arial" w:eastAsia="Arial"/>
                <w:sz w:val="18"/>
              </w:rPr>
              <w:t>Комплектность</w:t>
            </w:r>
          </w:p>
        </w:tc>
        <w:tc>
          <w:tcPr>
            <w:tcW w:type="dxa" w:w="3419"/>
          </w:tcPr>
          <w:p>
            <w:r>
              <w:rPr>
                <w:rFonts w:ascii="Arial" w:hAnsi="Arial" w:eastAsia="Arial"/>
                <w:sz w:val="18"/>
              </w:rPr>
              <w:t>Сверка фактически установленного оборудования и материалов</w:t>
            </w:r>
          </w:p>
        </w:tc>
        <w:tc>
          <w:tcPr>
            <w:tcW w:type="dxa" w:w="3419"/>
          </w:tcPr>
          <w:p>
            <w:r>
              <w:rPr>
                <w:rFonts w:ascii="Arial" w:hAnsi="Arial" w:eastAsia="Arial"/>
                <w:sz w:val="18"/>
              </w:rPr>
              <w:t>Соответствует утвержденному объему и исполнительным документам</w:t>
            </w:r>
          </w:p>
        </w:tc>
      </w:tr>
      <w:tr>
        <w:tc>
          <w:tcPr>
            <w:tcW w:type="dxa" w:w="3419"/>
          </w:tcPr>
          <w:p>
            <w:r>
              <w:rPr>
                <w:rFonts w:ascii="Arial" w:hAnsi="Arial" w:eastAsia="Arial"/>
                <w:sz w:val="18"/>
              </w:rPr>
              <w:t>Кабельные линии</w:t>
            </w:r>
          </w:p>
        </w:tc>
        <w:tc>
          <w:tcPr>
            <w:tcW w:type="dxa" w:w="3419"/>
          </w:tcPr>
          <w:p>
            <w:r>
              <w:rPr>
                <w:rFonts w:ascii="Arial" w:hAnsi="Arial" w:eastAsia="Arial"/>
                <w:sz w:val="18"/>
              </w:rPr>
              <w:t>Осмотр и проверка выполненных линий/шлейфов</w:t>
            </w:r>
          </w:p>
        </w:tc>
        <w:tc>
          <w:tcPr>
            <w:tcW w:type="dxa" w:w="3419"/>
          </w:tcPr>
          <w:p>
            <w:r>
              <w:rPr>
                <w:rFonts w:ascii="Arial" w:hAnsi="Arial" w:eastAsia="Arial"/>
                <w:sz w:val="18"/>
              </w:rPr>
              <w:t>Нет обрывов, коротких замыканий и незащищенных соединений на выполненных участках</w:t>
            </w:r>
          </w:p>
        </w:tc>
      </w:tr>
      <w:tr>
        <w:tc>
          <w:tcPr>
            <w:tcW w:type="dxa" w:w="3419"/>
          </w:tcPr>
          <w:p>
            <w:r>
              <w:rPr>
                <w:rFonts w:ascii="Arial" w:hAnsi="Arial" w:eastAsia="Arial"/>
                <w:sz w:val="18"/>
              </w:rPr>
              <w:t>Автоматические извещатели</w:t>
            </w:r>
          </w:p>
        </w:tc>
        <w:tc>
          <w:tcPr>
            <w:tcW w:type="dxa" w:w="3419"/>
          </w:tcPr>
          <w:p>
            <w:r>
              <w:rPr>
                <w:rFonts w:ascii="Arial" w:hAnsi="Arial" w:eastAsia="Arial"/>
                <w:sz w:val="18"/>
              </w:rPr>
              <w:t>Функциональная проверка установленных/замененных устройств</w:t>
            </w:r>
          </w:p>
        </w:tc>
        <w:tc>
          <w:tcPr>
            <w:tcW w:type="dxa" w:w="3419"/>
          </w:tcPr>
          <w:p>
            <w:r>
              <w:rPr>
                <w:rFonts w:ascii="Arial" w:hAnsi="Arial" w:eastAsia="Arial"/>
                <w:sz w:val="18"/>
              </w:rPr>
              <w:t>Сигнал корректно формируется и проходит до приемно-контрольного оборудования</w:t>
            </w:r>
          </w:p>
        </w:tc>
      </w:tr>
      <w:tr>
        <w:tc>
          <w:tcPr>
            <w:tcW w:type="dxa" w:w="3419"/>
          </w:tcPr>
          <w:p>
            <w:r>
              <w:rPr>
                <w:rFonts w:ascii="Arial" w:hAnsi="Arial" w:eastAsia="Arial"/>
                <w:sz w:val="18"/>
              </w:rPr>
              <w:t>Ручные извещатели</w:t>
            </w:r>
          </w:p>
        </w:tc>
        <w:tc>
          <w:tcPr>
            <w:tcW w:type="dxa" w:w="3419"/>
          </w:tcPr>
          <w:p>
            <w:r>
              <w:rPr>
                <w:rFonts w:ascii="Arial" w:hAnsi="Arial" w:eastAsia="Arial"/>
                <w:sz w:val="18"/>
              </w:rPr>
              <w:t>Функциональный запуск</w:t>
            </w:r>
          </w:p>
        </w:tc>
        <w:tc>
          <w:tcPr>
            <w:tcW w:type="dxa" w:w="3419"/>
          </w:tcPr>
          <w:p>
            <w:r>
              <w:rPr>
                <w:rFonts w:ascii="Arial" w:hAnsi="Arial" w:eastAsia="Arial"/>
                <w:sz w:val="18"/>
              </w:rPr>
              <w:t>Сигнал «Пожар» корректно формируется</w:t>
            </w:r>
          </w:p>
        </w:tc>
      </w:tr>
      <w:tr>
        <w:tc>
          <w:tcPr>
            <w:tcW w:type="dxa" w:w="3419"/>
          </w:tcPr>
          <w:p>
            <w:r>
              <w:rPr>
                <w:rFonts w:ascii="Arial" w:hAnsi="Arial" w:eastAsia="Arial"/>
                <w:sz w:val="18"/>
              </w:rPr>
              <w:t>Оповещатели «Шығу-Выход»</w:t>
            </w:r>
          </w:p>
        </w:tc>
        <w:tc>
          <w:tcPr>
            <w:tcW w:type="dxa" w:w="3419"/>
          </w:tcPr>
          <w:p>
            <w:r>
              <w:rPr>
                <w:rFonts w:ascii="Arial" w:hAnsi="Arial" w:eastAsia="Arial"/>
                <w:sz w:val="18"/>
              </w:rPr>
              <w:t>Визуальная и функциональная проверка</w:t>
            </w:r>
          </w:p>
        </w:tc>
        <w:tc>
          <w:tcPr>
            <w:tcW w:type="dxa" w:w="3419"/>
          </w:tcPr>
          <w:p>
            <w:r>
              <w:rPr>
                <w:rFonts w:ascii="Arial" w:hAnsi="Arial" w:eastAsia="Arial"/>
                <w:sz w:val="18"/>
              </w:rPr>
              <w:t>Все установленные оповещатели работоспособны</w:t>
            </w:r>
          </w:p>
        </w:tc>
      </w:tr>
      <w:tr>
        <w:tc>
          <w:tcPr>
            <w:tcW w:type="dxa" w:w="3419"/>
          </w:tcPr>
          <w:p>
            <w:r>
              <w:rPr>
                <w:rFonts w:ascii="Arial" w:hAnsi="Arial" w:eastAsia="Arial"/>
                <w:sz w:val="18"/>
              </w:rPr>
              <w:t>Исполнительная документация</w:t>
            </w:r>
          </w:p>
        </w:tc>
        <w:tc>
          <w:tcPr>
            <w:tcW w:type="dxa" w:w="3419"/>
          </w:tcPr>
          <w:p>
            <w:r>
              <w:rPr>
                <w:rFonts w:ascii="Arial" w:hAnsi="Arial" w:eastAsia="Arial"/>
                <w:sz w:val="18"/>
              </w:rPr>
              <w:t>Сверка комплекта документов</w:t>
            </w:r>
          </w:p>
        </w:tc>
        <w:tc>
          <w:tcPr>
            <w:tcW w:type="dxa" w:w="3419"/>
          </w:tcPr>
          <w:p>
            <w:r>
              <w:rPr>
                <w:rFonts w:ascii="Arial" w:hAnsi="Arial" w:eastAsia="Arial"/>
                <w:sz w:val="18"/>
              </w:rPr>
              <w:t>Полный предусмотренный комплект передан Заказчику</w:t>
            </w:r>
          </w:p>
        </w:tc>
      </w:tr>
    </w:tbl>
    <w:p>
      <w:pPr>
        <w:spacing w:before="120" w:after="60"/>
      </w:pPr>
      <w:r>
        <w:rPr>
          <w:rFonts w:ascii="Arial" w:hAnsi="Arial" w:eastAsia="Arial"/>
          <w:b/>
          <w:sz w:val="22"/>
        </w:rPr>
        <w:t>11. Гарантия</w:t>
      </w:r>
    </w:p>
    <w:p>
      <w:pPr>
        <w:spacing w:after="60" w:line="252" w:lineRule="auto"/>
      </w:pPr>
      <w:r>
        <w:rPr>
          <w:rFonts w:ascii="Arial" w:hAnsi="Arial" w:eastAsia="Arial"/>
        </w:rPr>
        <w:t>Гарантия на выполненные монтажные, ремонтные, восстановительные и пусконаладочные работы, а также на поставленное в составе работ оборудование составляет не менее 12 месяцев со дня подписания итогового акта выполненных работ, если изготовителем оборудования не установлен больший гарантийный срок.</w:t>
      </w:r>
    </w:p>
    <w:p>
      <w:pPr>
        <w:spacing w:after="60" w:line="252" w:lineRule="auto"/>
      </w:pPr>
      <w:r>
        <w:rPr>
          <w:rFonts w:ascii="Arial" w:hAnsi="Arial" w:eastAsia="Arial"/>
        </w:rPr>
        <w:t>Недостатки, возникшие в гарантийный период вследствие ненадлежащего выполнения Подрядчиком работ или дефекта поставленного им оборудования, устраняются Подрядчиком своими силами и за свой счет.</w:t>
      </w:r>
    </w:p>
    <w:p>
      <w:pPr>
        <w:spacing w:before="120" w:after="60"/>
      </w:pPr>
      <w:r>
        <w:rPr>
          <w:rFonts w:ascii="Arial" w:hAnsi="Arial" w:eastAsia="Arial"/>
          <w:b/>
          <w:sz w:val="22"/>
        </w:rPr>
        <w:t>12. Требования к конечному результату</w:t>
      </w:r>
    </w:p>
    <w:p>
      <w:pPr>
        <w:spacing w:after="60" w:line="252" w:lineRule="auto"/>
      </w:pPr>
      <w:r>
        <w:rPr>
          <w:rFonts w:ascii="Arial" w:hAnsi="Arial" w:eastAsia="Arial"/>
        </w:rPr>
        <w:t>Работы считаются выполненными после проведения обследования, выполнения предусмотренного объема ремонта, восстановления и дооснащения, монтажа и подключения оборудования, устранения относящихся к договорному объему выявленных неисправностей, проведения функциональных испытаний и передачи Заказчику полного комплекта предусмотренной исполнительной документации.</w:t>
      </w:r>
    </w:p>
    <w:p>
      <w:pPr>
        <w:spacing w:after="60" w:line="252" w:lineRule="auto"/>
      </w:pPr>
      <w:r>
        <w:rPr>
          <w:rFonts w:ascii="Arial" w:hAnsi="Arial" w:eastAsia="Arial"/>
        </w:rPr>
        <w:t>Итогом выполнения договора должна быть исправная и работоспособная система пожарной сигнализации в пределах предусмотренного настоящей технической спецификацией объема работ.</w:t>
      </w:r>
    </w:p>
    <w:p>
      <w:pPr>
        <w:spacing w:before="160"/>
      </w:pPr>
      <w:r>
        <w:rPr>
          <w:rFonts w:ascii="Arial" w:hAnsi="Arial" w:eastAsia="Arial"/>
          <w:i/>
          <w:sz w:val="18"/>
        </w:rPr>
        <w:t>Примечание Заказчику перед публикацией: необходимо проверить соответствие наименования и вида предмета закупки, кода ЕНС ТРУ, объема и основания выполнения работ данным годового плана и проекта договора. Если конкретные работы требуют проектной документации, закупочная документация должна быть приведена в соответствие с применимыми требованиями законодательства.</w:t>
      </w:r>
    </w:p>
    <w:sectPr w:rsidR="00FC693F" w:rsidRPr="0006063C" w:rsidSect="00034616">
      <w:pgSz w:w="12240" w:h="15840"/>
      <w:pgMar w:top="964" w:right="850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