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2-03/ОРД-327 от 13.10.2026</w:t>
      </w:r>
    </w:p>
    <w:p>
      <w:pPr>
        <w:jc w:val="center"/>
      </w:pPr>
      <w:r>
        <w:rPr>
          <w:b/>
        </w:rPr>
        <w:t>ТЕХНИКАЛЫҚ ЕРЕКШЕЛІК</w:t>
      </w:r>
    </w:p>
    <w:p>
      <w:pPr>
        <w:jc w:val="center"/>
      </w:pPr>
      <w:r>
        <w:rPr>
          <w:b/>
        </w:rPr>
        <w:t>мемлекеттік органдар мен мемлекеттік мекеменің атауы бар маңдайшаларды дайындау, жеткізу, қолданыстағыларын бөлшектеу және жаңаларын орнату жұмыстарына</w:t>
      </w:r>
    </w:p>
    <w:p/>
    <w:p>
      <w:pPr>
        <w:jc w:val="both"/>
      </w:pPr>
      <w:r>
        <w:rPr>
          <w:b/>
        </w:rPr>
        <w:t>1. Жұмыстың мәні мен көлемі</w:t>
      </w:r>
      <w:r/>
    </w:p>
    <w:p>
      <w:pPr>
        <w:jc w:val="both"/>
      </w:pPr>
      <w:r>
        <w:t>1.1. Орындаушы бақылау өлшемдерін жүргізу, макеттерді дайындау және келісу, дайындау, жеткізу, ауыстыруға жататын қолданыстағы маңдайшаларды бөлшектеу және әкімшілік ғимараттың қасбетіне жаңа маңдайшаларды орнату бойынша кешенді жұмыстарды көрсетеді.</w:t>
      </w:r>
    </w:p>
    <w:p>
      <w:pPr>
        <w:jc w:val="both"/>
      </w:pPr>
      <w:r>
        <w:t>1.2. Жұмыс нәтижесінің саны – 4 (төрт) маңдайша. Кешенді жұмыстардың құнына барлық материалдар, дайындау, жеткізу, бөлшектеу, бекіту, орнату, жұмыс орнын жинау және бөлшектелген құрылымдарды әкету кіреді.</w:t>
      </w:r>
    </w:p>
    <w:p>
      <w:pPr>
        <w:jc w:val="both"/>
      </w:pPr>
      <w:r>
        <w:t>1.3. Осы сатып алуға жататын және Тапсырыс берушімен орнында келісілген қолданыстағы 4 маңдайша ғана бөлшектеуге жатады.</w:t>
      </w:r>
    </w:p>
    <w:p>
      <w:pPr>
        <w:jc w:val="both"/>
      </w:pPr>
      <w:r>
        <w:rPr>
          <w:b/>
        </w:rPr>
        <w:t>2. Нормативтік негіз</w:t>
      </w:r>
      <w:r/>
    </w:p>
    <w:p>
      <w:pPr>
        <w:jc w:val="both"/>
      </w:pPr>
      <w:r>
        <w:t>2.1. Маңдайшаларды дайындау және орналастыру Қазақстан Республикасы Өнеркәсіп және құрылыс министрінің міндетін атқарушының 2023 жылғы 6 желтоқсандағы № 114 бұйрығымен бекітілген, Қазақстан Республикасының Әділет министрлігінде 2023 жылғы 11 желтоқсанда № 33759 болып тіркелген Әкімшілік ғимараттарда мемлекеттік органдардың атауы жазылған маңдайшаларды дайындау және орналастыру қағидаларына сәйкес жүзеге асырылады.</w:t>
      </w:r>
    </w:p>
    <w:p>
      <w:pPr>
        <w:jc w:val="both"/>
      </w:pPr>
      <w:r>
        <w:t>2.2. Қазақстан Республикасының Мемлекеттік Елтаңбасы қолданыстағы өзгерістерімен ҚР СТ 989-2014 «Қазақстан Республикасының Мемлекеттік Елтаңбасы. Техникалық шарттарға», сондай-ақ Қазақстан Республикасы Мемлекеттік Елтаңбасының ресми үлгісіне сәйкес болуы тиіс.</w:t>
      </w:r>
    </w:p>
    <w:p>
      <w:pPr>
        <w:jc w:val="both"/>
      </w:pPr>
      <w:r>
        <w:t>2.3. Жұмыстарды орындау кезінде Қазақстан Республикасының мемлекеттік рәміздер, техникалық реттеу, Қазақстан Республикасының Мемлекеттік Елтаңбасын дайындауды лицензиялау және мемлекеттік сатып алу туралы заңнамасының қолданылатын талаптары сақталады.</w:t>
      </w:r>
    </w:p>
    <w:p>
      <w:pPr>
        <w:jc w:val="both"/>
      </w:pPr>
      <w:r>
        <w:rPr>
          <w:b/>
        </w:rPr>
        <w:t>3. Маңдайшалардың саны және мәтіні</w:t>
      </w:r>
      <w:r/>
    </w:p>
    <w:p>
      <w:pPr>
        <w:jc w:val="both"/>
      </w:pPr>
      <w:r>
        <w:t>3.1. № 1 маңдайша — орыс тілінде, мемлекеттік органның атауымен: «Акимат Павлодарской области».</w:t>
      </w:r>
    </w:p>
    <w:p>
      <w:pPr>
        <w:jc w:val="both"/>
      </w:pPr>
      <w:r>
        <w:t>3.2. № 2 маңдайша — мемлекеттік тілде, мемлекеттік органның атауымен: «Павлодар облысының әкімдігі».</w:t>
      </w:r>
    </w:p>
    <w:p>
      <w:pPr>
        <w:jc w:val="both"/>
      </w:pPr>
      <w:r>
        <w:t>3.3. № 3 маңдайша — орыс тілінде, «Аппарат акима Павлодарской области» мемлекеттік мекемесіне арналған. Қағидалардың 9-тармағына сәйкес жоғарғы бөлігінде Мемлекеттік Елтаңбаның үстінде ортасында «Акимат Павлодарской области» мемлекеттік органының атауы, ал Мемлекеттік Елтаңбаның астында — «Государственное учреждение „Аппарат акима Павлодарской области“» мемлекеттік мекемесінің атауы орналастырылады.</w:t>
      </w:r>
    </w:p>
    <w:p>
      <w:pPr>
        <w:jc w:val="both"/>
      </w:pPr>
      <w:r>
        <w:t>3.4. № 4 маңдайша — мемлекеттік тілде, «Павлодар облысы әкімінің аппараты» мемлекеттік мекемесі үшін. Жоғарғы бөлігінде Мемлекеттік Елтаңбаның үстінде ортасында «Павлодар облысының әкімдігі» мемлекеттік органының атауы, ал Мемлекеттік Елтаңбаның астында — «Павлодар облысы әкімінің аппараты» мемлекеттік мекемесі атауы орналастырылады.</w:t>
      </w:r>
    </w:p>
    <w:p>
      <w:pPr>
        <w:jc w:val="both"/>
      </w:pPr>
      <w:r>
        <w:t>3.5. Орыс және мемлекеттік тілдер әртүрлі, бөлек орналасқан маңдайшаларда орындалады. Мәтін Тапсырыс берушімен келісілген тұжырымдарға қатаң сәйкес келуі тиіс. Шетел сөздеріне, латын әріптеріне, қысқартулар мен аббревиатураларға жол берілмейді.</w:t>
      </w:r>
    </w:p>
    <w:p>
      <w:pPr>
        <w:jc w:val="both"/>
      </w:pPr>
      <w:r>
        <w:rPr>
          <w:b/>
        </w:rPr>
        <w:t>4. Маңдайшалардың құрамы мен композициясы</w:t>
      </w:r>
      <w:r/>
    </w:p>
    <w:tbl>
      <w:tblPr>
        <w:tblStyle w:val="TableGrid"/>
        <w:tblW w:type="auto" w:w="0"/>
        <w:tblLook w:firstColumn="1" w:firstRow="1" w:lastColumn="0" w:lastRow="0" w:noHBand="0" w:noVBand="1" w:val="04A0"/>
      </w:tblPr>
      <w:tblGrid>
        <w:gridCol w:w="2880"/>
        <w:gridCol w:w="2880"/>
        <w:gridCol w:w="2880"/>
      </w:tblGrid>
      <w:tr>
        <w:tc>
          <w:tcPr>
            <w:tcW w:type="dxa" w:w="2880"/>
          </w:tcPr>
          <w:p>
            <w:r>
              <w:t>№</w:t>
            </w:r>
          </w:p>
        </w:tc>
        <w:tc>
          <w:tcPr>
            <w:tcW w:type="dxa" w:w="2880"/>
          </w:tcPr>
          <w:p>
            <w:r>
              <w:t>Тіл / мақсаты</w:t>
            </w:r>
          </w:p>
        </w:tc>
        <w:tc>
          <w:tcPr>
            <w:tcW w:type="dxa" w:w="2880"/>
          </w:tcPr>
          <w:p>
            <w:r>
              <w:t>Мәтін және елтаңбаға қатысты орналасуы</w:t>
            </w:r>
          </w:p>
        </w:tc>
      </w:tr>
      <w:tr>
        <w:tc>
          <w:tcPr>
            <w:tcW w:type="dxa" w:w="2880"/>
          </w:tcPr>
          <w:p>
            <w:r>
              <w:t>1</w:t>
            </w:r>
          </w:p>
        </w:tc>
        <w:tc>
          <w:tcPr>
            <w:tcW w:type="dxa" w:w="2880"/>
          </w:tcPr>
          <w:p>
            <w:r>
              <w:t>Орыс тілі; мемлекеттік орган</w:t>
            </w:r>
          </w:p>
        </w:tc>
        <w:tc>
          <w:tcPr>
            <w:tcW w:type="dxa" w:w="2880"/>
          </w:tcPr>
          <w:p>
            <w:r>
              <w:t>Жоғарғы үштен бір бөлігінде диаметрі 12 см елтаңба; елтаңбаның астында — «АКИМАТ ПАВЛОДАРСКОЙ ОБЛАСТИ». Әріптердің биіктігі кемінде 3 см.</w:t>
            </w:r>
          </w:p>
        </w:tc>
      </w:tr>
      <w:tr>
        <w:tc>
          <w:tcPr>
            <w:tcW w:type="dxa" w:w="2880"/>
          </w:tcPr>
          <w:p>
            <w:r>
              <w:t>2</w:t>
            </w:r>
          </w:p>
        </w:tc>
        <w:tc>
          <w:tcPr>
            <w:tcW w:type="dxa" w:w="2880"/>
          </w:tcPr>
          <w:p>
            <w:r>
              <w:t>Мемлекеттік тіл; мемлекеттік орган</w:t>
            </w:r>
          </w:p>
        </w:tc>
        <w:tc>
          <w:tcPr>
            <w:tcW w:type="dxa" w:w="2880"/>
          </w:tcPr>
          <w:p>
            <w:r>
              <w:t>Жоғарғы үштен бір бөлігінде диаметрі 12 см елтаңба; елтаңбаның астында — «ПАВЛОДАР ОБЛЫСЫНЫҢ ӘКІМДІГІ». Әріптердің биіктігі кемінде 3 см.</w:t>
            </w:r>
          </w:p>
        </w:tc>
      </w:tr>
      <w:tr>
        <w:tc>
          <w:tcPr>
            <w:tcW w:type="dxa" w:w="2880"/>
          </w:tcPr>
          <w:p>
            <w:r>
              <w:t>3</w:t>
            </w:r>
          </w:p>
        </w:tc>
        <w:tc>
          <w:tcPr>
            <w:tcW w:type="dxa" w:w="2880"/>
          </w:tcPr>
          <w:p>
            <w:r>
              <w:t>Орыс тілі; мемлекеттік мекеме</w:t>
            </w:r>
          </w:p>
        </w:tc>
        <w:tc>
          <w:tcPr>
            <w:tcW w:type="dxa" w:w="2880"/>
          </w:tcPr>
          <w:p>
            <w:r>
              <w:t>Диаметрі 12 см елтаңбаның үстінде ортасында — «АКИМАТ ПАВЛОДАРСКОЙ ОБЛАСТИ» (әріптер кемінде 2 см); елтаңбаның астында — ГОСУДАРСТВЕННОЕ УЧРЕЖДЕНИЕ «АППАРАТ АКИМА ПАВЛОДАРСКОЙ ОБЛАСТИ» (әріптер кемінде 3 см).</w:t>
            </w:r>
          </w:p>
        </w:tc>
      </w:tr>
      <w:tr>
        <w:tc>
          <w:tcPr>
            <w:tcW w:type="dxa" w:w="2880"/>
          </w:tcPr>
          <w:p>
            <w:r>
              <w:t>4</w:t>
            </w:r>
          </w:p>
        </w:tc>
        <w:tc>
          <w:tcPr>
            <w:tcW w:type="dxa" w:w="2880"/>
          </w:tcPr>
          <w:p>
            <w:r>
              <w:t>Мемлекеттік тіл; мемлекеттік мекеме</w:t>
            </w:r>
          </w:p>
        </w:tc>
        <w:tc>
          <w:tcPr>
            <w:tcW w:type="dxa" w:w="2880"/>
          </w:tcPr>
          <w:p>
            <w:r>
              <w:t>Диаметрі 12 см елтаңбаның үстінде ортасында — «ПАВЛОДАР ОБЛЫСЫНЫҢ ӘКІМДІГІ» (әріптер кемінде 2 см); елтаңбаның астында — «ПАВЛОДАР ОБЛЫСЫ ӘКІМІНІҢ АППАРАТЫ» МЕМЛЕКЕТТІК МЕКЕМЕСІ (әріптер кемінде 3 см).</w:t>
            </w:r>
          </w:p>
        </w:tc>
      </w:tr>
    </w:tbl>
    <w:p/>
    <w:p>
      <w:pPr>
        <w:jc w:val="both"/>
      </w:pPr>
      <w:r>
        <w:rPr>
          <w:b/>
        </w:rPr>
        <w:t>5. Өлшемдері және төсемі (негізі)</w:t>
      </w:r>
      <w:r/>
    </w:p>
    <w:p>
      <w:pPr>
        <w:jc w:val="both"/>
      </w:pPr>
      <w:r>
        <w:t>5.1. Әрбір маңдайшаның габариті — ені 80 см, биіктігі 60 см (көлденең орналасуы). Дайындауды бастамас бұрын Орындаушы объектіде бақылау өлшемін орындауға, нақты орнату орындарының көрсетілген өлшемдерге сәйкестігін тексеруге және макетте енін, биіктігін және бағдарын көрсетуге міндетті. Дайындауға макеттерді Тапсырыс берушімен жазбаша келіскеннен кейін ғана жол беріледі.</w:t>
      </w:r>
    </w:p>
    <w:p>
      <w:pPr>
        <w:jc w:val="both"/>
      </w:pPr>
      <w:r>
        <w:t>5.2. Өлшемі мен пропорциялары Қағидалардың 6-тармағына сәйкес келуі тиіс: биіктігінің еніне қатынасы 3:4 (60:80) құрайды. Тапсырыс берушімен алдын ала жазбаша келісімсіз габариттерді өзгертуге жол берілмейді.</w:t>
      </w:r>
    </w:p>
    <w:p>
      <w:pPr>
        <w:jc w:val="both"/>
      </w:pPr>
      <w:r>
        <w:t>5.3. Маңдайша Әкімшілік ғимараттарда мемлекеттік органдардың атауы жазылған маңдайшаларды дайындау және орналастыру қағидаларының 7-тармағына сәйкес қалыңдығы 1-ден 4 см-ге дейінгі төсемде — маңдайша негізіне арналған декоративті жақтауда орналасуы тиіс. Алюминий композиттік панелінен жасалған беткі панельдің қалыңдығы осы техникалық ерекшеліктің 5.4-тармағымен жеке белгіленеді.</w:t>
      </w:r>
    </w:p>
    <w:p>
      <w:pPr>
        <w:jc w:val="both"/>
      </w:pPr>
      <w:r>
        <w:t>5.4. Беткі панель — жалпы қалыңдығы кемінде 4 мм, әрбір алюминий қаптама қабатының қалыңдығы кемінде 0,5 мм болатын сыртқы қолдануға арналған алюминий композиттік панель. Беткі жағында сыртқы қолдануға арналған және ультракүлгін сәулелерге, атмосфералық жауын-шашынға, ылғалға және температураның өзгеруіне төзімділікті қамтамасыз ететін PVDF негізіндегі немесе пайдалану сипаттамалары бойынша оған баламалы зауыттық қорғаныш-декоративтік жабыны болуы тиіс. Беткі жағының түсі — көк, реңкі — кобальт-көк, Тапсырыс берушімен келісілген макетке сәйкес. Панель сыртқы пайдалану жағдайларында жабынның геометриясы мен тұтастығын сақтауы тиіс. Бөртіп кетуге, қабаттасуға, жарықтарға, ойықтарға, деформацияларға және беттің басқа да ақауларына жол берілмейді.</w:t>
      </w:r>
    </w:p>
    <w:p>
      <w:pPr>
        <w:jc w:val="both"/>
      </w:pPr>
      <w:r>
        <w:t>5.5. Маңдайшаларды дайындауды бастамас бұрын Орындаушы Тапсырыс берушіге панельдің жалпы қалыңдығы кемінде 4 мм, әрбір алюминий қаптама қабатының қалыңдығы кемінде 0,5 мм екенін және сыртқы қолдануға арналған зауыттық қорғаныш-декоративтік жабынының бар екенін растайтын панельді дайындаушының техникалық сипаттамасын, төлқұжатын немесе өзге де құжатын ұсынады. Панельді пайдалануға ұсынылған құжаттаманы Тапсырыс беруші тексергеннен кейін жол беріледі.</w:t>
      </w:r>
    </w:p>
    <w:p>
      <w:pPr>
        <w:jc w:val="both"/>
      </w:pPr>
      <w:r>
        <w:rPr>
          <w:b/>
        </w:rPr>
        <w:t>6. Қазақстан Республикасының Мемлекеттік Елтаңбасы</w:t>
      </w:r>
      <w:r/>
    </w:p>
    <w:p>
      <w:pPr>
        <w:jc w:val="both"/>
      </w:pPr>
      <w:r>
        <w:t>6.1. 4 маңдайшаның әрқайсысында Қағидаларға және ҚР СТ 989-2014 «Қазақстан Республикасының Мемлекеттік Елтаңбасы. Техникалық шарттар» сәйкес Қазақстан Республикасының Мемлекеттік Елтаңбасы орналастырылады.</w:t>
      </w:r>
    </w:p>
    <w:p>
      <w:pPr>
        <w:jc w:val="both"/>
      </w:pPr>
      <w:r>
        <w:t>6.2. Елтаңба маңдайшаның беткі жағына физикалық түрде бекітілетін жеке көлемді элемент (бедерлі/көлемді орындалуы) болуы тиіс. Жеке көлемді Елтаңбаны тек басып шығару, бояу, плоттерлік үлдір, жапсырма немесе жазық графикалық аппликация арқылы салынған бейнемен ауыстыруға жол берілмейді.</w:t>
      </w:r>
    </w:p>
    <w:p>
      <w:pPr>
        <w:jc w:val="both"/>
      </w:pPr>
      <w:r>
        <w:t>6.3. Елтаңба маңдайшаның жоғарғы үштен бір бөлігінде ортасында орналасады. Көлденең орналастырылған кезде Мемлекеттік Елтаңбаның диаметрі Қағидалардың 8-тармағына сәйкес маңдайша биіктігінің бестен бір бөлігін құрауы тиіс. Маңдайшаның биіктігі 60 см болғанда Елтаңбаның диаметрі 12 см құрайды. Елтаңбаның диаметрі мен орналасуы Тапсырыс берушімен келісілетін макетте көрсетіледі.</w:t>
      </w:r>
    </w:p>
    <w:p>
      <w:pPr>
        <w:jc w:val="both"/>
      </w:pPr>
      <w:r>
        <w:t>6.4. Елтаңба пропорцияларды, элементтерді және симметрияны бұзбай ресми үлгіні қайталауы тиіс. Бекітпесі сенімді, жасырын немесе ұқыпты орындалған, беткі жағын зақымдамайтын және шығып тұратын өңделмеген бекіту элементтерінсіз болуы тиіс.</w:t>
      </w:r>
    </w:p>
    <w:p>
      <w:pPr>
        <w:jc w:val="both"/>
      </w:pPr>
      <w:r>
        <w:t>6.5. Мемлекеттік Елтаңбаның өзі Қазақстан Республикасының Мемлекеттік Елтаңбасын дайындауға қолданыстағы лицензиясы бар өндірушімен дайындалуы және ҚР СТ 989-2014 сәйкес болуы тиіс. Орындаушы Елтаңбаны осындай өндірушіден сатып алуға құқылы; бұл талап сатып алудың әрбір қатысушысы Мемлекеттік Елтаңбаны дербес дайындауға немесе оны дайындауға лицензиясы болуға міндетті дегенді білдірмейді.</w:t>
      </w:r>
    </w:p>
    <w:p>
      <w:pPr>
        <w:jc w:val="both"/>
      </w:pPr>
      <w:r>
        <w:t>6.6. Монтаждауға дейін Орындаушы Тапсырыс берушіге Қазақстан Республикасының Мемлекеттік Елтаңбасын дайындаушыны сәйкестендіруге, оны дайындауға қолданыстағы лицензияның бар-жоғын тексеруге және орнатылған бұйымның ҚР СТ 989-2014 сәйкестігін растауға мүмкіндік беретін құжаттарды ұсынады. Мемлекеттік тізілімде лицензия туралы мәліметтерді тексеруге жол беріледі.</w:t>
      </w:r>
    </w:p>
    <w:p>
      <w:pPr>
        <w:jc w:val="both"/>
      </w:pPr>
      <w:r>
        <w:rPr>
          <w:b/>
        </w:rPr>
        <w:t>7. Мәтін, қаріп және алтын элементтер</w:t>
      </w:r>
      <w:r/>
    </w:p>
    <w:p>
      <w:pPr>
        <w:jc w:val="both"/>
      </w:pPr>
      <w:r>
        <w:t>7.1. Маңдайшалар мәтінінің қаріпі — Қағидалардың 10-тармағында белгіленгендей Book Antiqua.</w:t>
      </w:r>
    </w:p>
    <w:p>
      <w:pPr>
        <w:jc w:val="both"/>
      </w:pPr>
      <w:r>
        <w:t>7.2. Әріптердің түсі — алтын. Мәтін сыртқы қолдануға арналған алтын үлдірді плоттерлік (контурлық) кесу әдісімен немесе әріптердің тегіс контурларын, сыртқы жағдайларға төзімділікті және қабаттаспауды қамтамасыз ететін баламалы технологиялық тәсілмен орындалады.</w:t>
      </w:r>
    </w:p>
    <w:p>
      <w:pPr>
        <w:jc w:val="both"/>
      </w:pPr>
      <w:r>
        <w:t>7.3. Елтаңбаның астында орналасатын мемлекеттік орган атауы әріптерінің биіктігі — кемінде 3 см. Мемлекеттік мекеменің маңдайшасында Елтаңбаның үстінде орналасатын мемлекеттік органның атауы үшін әріптердің биіктігі — кемінде 2 см. Елтаңбаның астындағы мемлекеттік мекеме атауы әріптерінің биіктігі — кемінде 3 см.</w:t>
      </w:r>
    </w:p>
    <w:p>
      <w:pPr>
        <w:jc w:val="both"/>
      </w:pPr>
      <w:r>
        <w:t>7.4. Әрбір маңдайшаның сыртқы периметрі бойынша Қағидалардың 12-тармағына сәйкес ені кемінде 3 см болатын алтын түсті декоративті жиектеме (жақтау/трим) қарастырылады. Жиектеме тегіс, үздіксіз және көрінетін зақымдарсыз болуы тиіс.</w:t>
      </w:r>
    </w:p>
    <w:p>
      <w:pPr>
        <w:jc w:val="both"/>
      </w:pPr>
      <w:r>
        <w:rPr>
          <w:b/>
        </w:rPr>
        <w:t>8. Жеткізу, бөлшектеу және монтаждау (орнату)</w:t>
      </w:r>
      <w:r/>
    </w:p>
    <w:p>
      <w:pPr>
        <w:jc w:val="both"/>
      </w:pPr>
      <w:r>
        <w:t>8.1. Орындаушы объектіге баруды, бақылау өлшемін жүргізуді, макеттерді дайындауды, барлық 4 маңдайшаны дайындауды, қаптауды және орнату орнына жеткізуді орындайды.</w:t>
      </w:r>
    </w:p>
    <w:p>
      <w:pPr>
        <w:jc w:val="both"/>
      </w:pPr>
      <w:r>
        <w:t>8.2. Орындаушы Тапсырыс берушімен келісім бойынша ауыстырылуы тиіс 4 маңдайшаны бөлшектейді. Осы көлемге кірмеген мәслихаттың маңдайшаларын және өзге де маңдайшаларды бөлшектеуге жол берілмейді.</w:t>
      </w:r>
    </w:p>
    <w:p>
      <w:pPr>
        <w:jc w:val="both"/>
      </w:pPr>
      <w:r>
        <w:t>8.3. Бөлшектеу және орнату жер деңгейінен жұмыстарды орындау орнына (маңдайшаны бекіту орнына) дейін 3,5 м биіктікте орындалады. Жұмыстарды қауіпсіз орындауға қажетті барлық құралдар, сатылар, мінбелер, бекіту материалдары мен қорғаныс құралдары жұмыс құнына кіреді.</w:t>
      </w:r>
    </w:p>
    <w:p>
      <w:pPr>
        <w:jc w:val="both"/>
      </w:pPr>
      <w:r>
        <w:t>8.4. Бекітпе сыртқы пайдалануды ескере отырып маңдайшалардың сенімді бекітілуін қамтамасыз етуі тиіс және босап кетуге, қисаюға немесе деформацияға әкеп соқпауы керек. Бекіту элементтері коррозияға төзімді болуы және мүмкіндігінше беткі жағынан байқалмауы тиіс.</w:t>
      </w:r>
    </w:p>
    <w:p>
      <w:pPr>
        <w:jc w:val="both"/>
      </w:pPr>
      <w:r>
        <w:t>8.5. Бөлшектеу және орнату кезінде қасбетті, шынылауды, әрлеуді, қолданыстағы электр сымдарын және жарықтандыру элементтерін зақымдауға жол берілмейді. Егер жұмыс нәтижесінде тесіктер, сынықтар немесе өзге де зақымдар пайда болса, Орындаушы оларды өз қаражаты есебінен жояды және жұмыс орнын қалпына келтіреді.</w:t>
      </w:r>
    </w:p>
    <w:p>
      <w:pPr>
        <w:jc w:val="both"/>
      </w:pPr>
      <w:r>
        <w:t>8.6. Орындаушы бөлшектелген маңдайшалар мен қалдықтарды жинауды, тиеуді және әкетуді, сондай-ақ орнату аяқталғаннан кейін жұмыс аймағын жинауды қамтамасыз етеді.</w:t>
      </w:r>
    </w:p>
    <w:p>
      <w:pPr>
        <w:jc w:val="both"/>
      </w:pPr>
      <w:r>
        <w:rPr>
          <w:b/>
        </w:rPr>
        <w:t>9. Макеттерді келісу</w:t>
      </w:r>
      <w:r/>
    </w:p>
    <w:p>
      <w:pPr>
        <w:jc w:val="both"/>
      </w:pPr>
      <w:r>
        <w:t>9.1. Дайындауды бастамас бұрын Орындаушы Тапсырыс берушіге барлық 4 маңдайшаның макеттерін ұсынады. Макетте нақты мәтін, тіл, өлшемдері, бағдары, қаріп, әріптердің биіктігі, түс схемасы, Қазақстан Республикасы Мемлекеттік Елтаңбасының орналасуы мен диаметрі, жақтаудың ені, төсемнің конструкциясы және бекіту тәсілі қамтылуы тиіс.</w:t>
      </w:r>
    </w:p>
    <w:p>
      <w:pPr>
        <w:jc w:val="both"/>
      </w:pPr>
      <w:r>
        <w:t>9.2. Макеттер Қағидалардың 9-тармағына сәйкес мемлекеттік орган маңдайшасы мен мемлекеттік мекеме маңдайшасы композициясының айырмашылығын ескеруі тиіс. Дайындауға макеттерді Тапсырыс беруші жазбаша нысанда келіскеннен кейін ғана жол беріледі.</w:t>
      </w:r>
    </w:p>
    <w:p>
      <w:pPr>
        <w:jc w:val="both"/>
      </w:pPr>
      <w:r>
        <w:t>9.3. Орындаушы Тапсырыс берушімен алдын ала жазбаша келісусіз келісілген мәтінді, өлшемдерді, түсті, қаріпті, Елтаңбаны орындау тәсілін немесе конструктивтік шешімдерді өзгертуге құқылы емес.</w:t>
      </w:r>
    </w:p>
    <w:p>
      <w:pPr>
        <w:jc w:val="both"/>
      </w:pPr>
      <w:r>
        <w:t>9.4. Қоса беріліп отырған иллюстративті эскиз маңдайшалардың жалпы визуалды және композициялық шешімін түсіндіруге арналған. Эскиз бағдарлы сипатқа ие және осы техникалық ерекшеліктің талаптарын алмастырмайды. Айырмашылықтар болған жағдайда техникалық ерекшеліктің және қолданыстағы нормативтік құқықтық актілердің талаптары басымдыққа ие. Дайындауды бастамас бұрын Орындаушы Тапсырыс берушіге жазбаша келісу үшін белгіленген өлшемдерді, мәтіндерді, түстік шешімді, қаріпті, Қазақстан Республикасының Мемлекеттік Елтаңбасының параметрлерін және алтын жиектемені сақтай отырып, барлық төрт маңдайшаның нақты макеттерін ұсынуға міндетті.</w:t>
      </w:r>
    </w:p>
    <w:p>
      <w:pPr>
        <w:jc w:val="both"/>
      </w:pPr>
      <w:r>
        <w:rPr>
          <w:b/>
        </w:rPr>
        <w:t>10. Қабылдау және кепілдік</w:t>
      </w:r>
      <w:r/>
    </w:p>
    <w:p>
      <w:pPr>
        <w:jc w:val="both"/>
      </w:pPr>
      <w:r>
        <w:t>10.1. Жұмыс 4 маңдайшаны дайындап, орнатқаннан, келісілген ескі маңдайшаларды бөлшектегеннен, жұмыс орнын жинағаннан, осы техникалық ерекшеліктің талаптарына сәйкестігін тексергеннен және осы техникалық ерекшеліктің 5.5 және 6.6-тармақтарында көзделген құжаттарды бергеннен кейін орындалды деп есептеледі.</w:t>
      </w:r>
    </w:p>
    <w:p>
      <w:pPr>
        <w:jc w:val="both"/>
      </w:pPr>
      <w:r>
        <w:t>10.2. Тапсырыс беруші мәтіндердің, тілдің, өлшемдер мен пропорциялардың, түстің, Book Antiqua қаріпінің, әріптердің биіктігінің, алтын жақтаудың енінің, Елтаңбаның орналасуы мен орындалуының, беткі сапасының, бекітпе сенімділігінің және қасбетте зақымдардың жоқтығының сәйкестігін тексереді.</w:t>
      </w:r>
    </w:p>
    <w:p>
      <w:pPr>
        <w:jc w:val="both"/>
      </w:pPr>
      <w:r>
        <w:t>10.3. Маңдайшалар сызаттарсыз, жарықтарсыз, сынықтарсыз, көпіршіктерсіз, қабаттасуларсыз, қисаюларсыз, сапасыз кесу іздерінсіз және басқа да ақауларсыз берілуі тиіс. Сәйкессіздіктер анықталған жағдайда Орындаушы нәтижені қабылдауға дейін оларды өз қаражаты есебінен жояды.</w:t>
      </w:r>
    </w:p>
    <w:p>
      <w:pPr>
        <w:jc w:val="both"/>
      </w:pPr>
      <w:r>
        <w:t>10.4. Дайындауға, материалдарға және монтаждауға кепілдік мерзімі — қабылдау туралы құжатқа қол қойылған күннен бастап кемінде 12 ай. Кепілдік мерзімі ішінде Орындаушы өз кінәсінен туындаған немесе пайдаланылған материалдардың және орындалған жұмыстардың сапасына байланысты ақауларды өз қаражаты есебінен жояды. Бұрыннан бар жарықтандыру жүйесіне кепілдік белгіленбейді.</w:t>
      </w:r>
    </w:p>
    <w:p>
      <w:pPr>
        <w:jc w:val="both"/>
      </w:pPr>
      <w:r>
        <w:rPr>
          <w:b/>
        </w:rPr>
        <w:t>11. Жұмыс құнына қойылатын талаптар</w:t>
      </w:r>
      <w:r/>
    </w:p>
    <w:p>
      <w:pPr>
        <w:jc w:val="both"/>
      </w:pPr>
      <w:r>
        <w:t>11.1. Кешенді жұмыстың бағасы осы техникалық ерекшелік бойынша нәтижеге қол жеткізу үшін қажетті барлық шығындарды қамтуы тиіс: материалдар, жеке көлемді Мемлекеттік Елтаңбалар, дайындау, макеттерді келісу, қаптау, жеткізу, бөлшектеу, бекіту, 3,5 м биіктікке дейін орнату, қалдықтарды жинау және әкету, сондай-ақ кемшіліктерді жою.</w:t>
      </w:r>
    </w:p>
    <w:p>
      <w:pPr>
        <w:jc w:val="both"/>
      </w:pPr>
      <w:r>
        <w:t>11.2. Жарықтандыру жүйесі мен шырақтарды жеткізу, орнату, қосу, ауыстыру, жөндеу және алмастыру осы сатып алуға кірмейді. Қолданыстағы жарықтандыру жүйесі пайдаланылады. Орындаушы жұмыс істеп тұрған жарықтандыру жүйесінің элементтерін зақымдамай бөлшектеуді және орнатуды орындауға және тәуліктің қараңғы уақытында орнатылған маңдайшаларды қолданыстағы жүйемен жарықтандыру мүмкіндігін қамтамасыз етуге міндетті.</w:t>
      </w:r>
    </w:p>
    <w:p/>
    <w:p>
      <w:pPr>
        <w:jc w:val="both"/>
      </w:pPr>
      <w:r>
        <w:t>Иллюстративті эскиздегі Қазақстан Республикасы Мемлекеттік Елтаңбасының бейнесі шартты сипатқа ие және дайындау үшін үлгі болып табылмайды. Дайындау кезінде ҚР СТ 989-2014 сәйкес келетін Қазақстан Республикасының ресми Мемлекеттік Елтаңбасы пайдаланылады.</w:t>
      </w:r>
    </w:p>
    <w:p/>
    <w:tbl>
      <w:tblPr>
        <w:tblW w:type="auto" w:w="0"/>
        <w:tblLook w:firstColumn="1" w:firstRow="1" w:lastColumn="0" w:lastRow="0" w:noHBand="0" w:noVBand="1" w:val="04A0"/>
      </w:tblPr>
      <w:tblGrid>
        <w:gridCol w:w="4320"/>
        <w:gridCol w:w="4320"/>
      </w:tblGrid>
      <w:tr>
        <w:tc>
          <w:tcPr>
            <w:tcW w:type="dxa" w:w="4320"/>
          </w:tcPr>
          <w:p>
            <w:r>
              <w:t>Облыс әкімі аппараты басшысының орынбасары</w:t>
            </w:r>
          </w:p>
        </w:tc>
        <w:tc>
          <w:tcPr>
            <w:tcW w:type="dxa" w:w="4320"/>
          </w:tcPr>
          <w:p>
            <w:r>
              <w:t>Т. Лұқпан</w:t>
            </w:r>
          </w:p>
        </w:tc>
      </w:tr>
      <w:tr>
        <w:tc>
          <w:tcPr>
            <w:tcW w:type="dxa" w:w="4320"/>
          </w:tcPr>
          <w:p>
            <w:r>
              <w:t>ӘҚБ басшысы</w:t>
            </w:r>
          </w:p>
        </w:tc>
        <w:tc>
          <w:tcPr>
            <w:tcW w:type="dxa" w:w="4320"/>
          </w:tcPr>
          <w:p>
            <w:r>
              <w:t>Қ. Ерғалиева</w:t>
            </w:r>
          </w:p>
        </w:tc>
      </w:tr>
    </w:tbl>
    <w:sectPr w:rsidR="00FC693F" w:rsidRPr="0006063C" w:rsidSect="00034616">
      <w:pgSz w:w="12240" w:h="15840"/>
      <w:pgMar w:top="1440" w:right="1800" w:bottom="1440" w:left="1800" w:header="720" w:footer="720" w:gutter="0"/>
      <w:cols w:space="720"/>
      <w:docGrid w:linePitch="360"/>
      <w:footerReference w:type="default" r:id="rId997"/>
      <w:headerReference w:type="defaul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12.10.2026 16:32 Ергалиева Карлыгаш Тулегеновна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13.10.2026 09:37 Лукпан Темирлан Тлеуханулы</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46">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tbl>
      <w:tblPr>
        <w:tblW w:w="8885.66" w:type="dxa"/>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ОРД</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2-03/ОРД-327 от 13.10.2026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АППАРАТ АКИМА ПАВЛОДАРСКОЙ ОБЛАСТИ</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МАЙДАНОВ А. Ж. (ГЛАВНЫЙ ИНСПЕКТОР)</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0"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ЕРГАЛИЕВА КАРЛЫГАШ</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MIIRFAYJ...xHSXujGA=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12.10.2026 16:32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ЛУКПАН ТЕМИРЛАН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MIIQ+AYJ...ep/jcuA==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13.10.2026 09:37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КАИРТАЕВА МАДИНА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MIIREAYJ...x3a8EcQ==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13.10.2026 09:48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8885.66" w:type="dxa"/>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13.10.2026 10:49.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айданов Алмас Жанболатович 13.10.2026 10:49"/>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ocumentProtection w:edit="readOnly" w:enforcement="1" w:cryptProviderType="rsaFull" w:cryptAlgorithmClass="hash" w:cryptAlgorithmType="typeAny" w:cryptAlgorithmSid="4" w:cryptSpinCount="100000" w:hash="GZGv+O0pgNAZ2Q0dNFMRG52OQ+w=" w:salt="7OzIXI8aQrSCM9PFSxYKDg=="/>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46" Type="http://schemas.openxmlformats.org/officeDocument/2006/relationships/image" Target="media/image946.png"/><Relationship Id="rId900" Type="http://schemas.openxmlformats.org/officeDocument/2006/relationships/image" Target="media/image900.png"/><Relationship Id="rId901" Type="http://schemas.openxmlformats.org/officeDocument/2006/relationships/image" Target="media/image901.png"/><Relationship Id="rId902" Type="http://schemas.openxmlformats.org/officeDocument/2006/relationships/image" Target="media/image902.png"/><Relationship Id="rId999" Type="http://schemas.openxmlformats.org/officeDocument/2006/relationships/endnotes" Target="endnotes.xml"/><Relationship Id="rId998" Type="http://schemas.openxmlformats.org/officeDocument/2006/relationships/footnotes" Target="footnotes.xml"/><Relationship Id="rId997" Type="http://schemas.openxmlformats.org/officeDocument/2006/relationships/footer" Target="footer1.xml"/><Relationship Id="rId99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