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rPr>
        <w:t>ТЕХНИКАЛЫҚ ЕРЕКШЕЛІК</w:t>
      </w:r>
    </w:p>
    <w:p>
      <w:pPr>
        <w:jc w:val="center"/>
      </w:pPr>
      <w:r>
        <w:rPr>
          <w:b/>
        </w:rPr>
        <w:t>АВС бағдарламалық кешенін пайдалану құқығын және сүйемелдеу қызметін сатып алуға арналған</w:t>
      </w:r>
    </w:p>
    <w:p>
      <w:pPr>
        <w:jc w:val="both"/>
      </w:pPr>
      <w:r>
        <w:rPr>
          <w:b w:val="0"/>
        </w:rPr>
        <w:t>Тапсырыс беруші: «Жамбыл су» ШЖҚ МКК (Тараз қ.).</w:t>
      </w:r>
    </w:p>
    <w:p>
      <w:pPr>
        <w:jc w:val="both"/>
      </w:pPr>
      <w:r>
        <w:rPr>
          <w:b w:val="0"/>
        </w:rPr>
        <w:t>Сатып алу нысанасы: құрылыстағы сметалық құжаттаманы жасауға, тексеруге және түзетуге арналған бағдарламалық қамтамасыз ету; жылдық сүйемелдеу және құрылыстағы өндірістік ресурстардың электрондық сметалық-нормативтік базасына қол жеткізу.</w:t>
      </w:r>
    </w:p>
    <w:p>
      <w:pPr>
        <w:jc w:val="both"/>
      </w:pPr>
      <w:r>
        <w:rPr>
          <w:b w:val="0"/>
        </w:rPr>
        <w:t>Пайдалану құқықтарының құрамы әртүрлі екі дербес сатып алу позициясы (лот) көзделсін.</w:t>
      </w:r>
    </w:p>
    <w:p>
      <w:pPr>
        <w:jc w:val="center"/>
      </w:pPr>
      <w:r>
        <w:rPr>
          <w:b/>
        </w:rPr>
        <w:t>1-ЛОТ. Қолданыстағы АВС БК жұмыс орнын жаңарту</w:t>
      </w:r>
    </w:p>
    <w:tbl>
      <w:tblPr>
        <w:tblStyle w:val="TableGrid"/>
        <w:tblW w:type="auto" w:w="0"/>
        <w:jc w:val="center"/>
        <w:tblLook w:firstColumn="1" w:firstRow="1" w:lastColumn="0" w:lastRow="0" w:noHBand="0" w:noVBand="1" w:val="04A0"/>
      </w:tblPr>
      <w:tblGrid>
        <w:gridCol w:w="2041"/>
        <w:gridCol w:w="7257"/>
      </w:tblGrid>
      <w:tr>
        <w:tc>
          <w:tcPr>
            <w:tcW w:type="dxa" w:w="2041"/>
            <w:vAlign w:val="center"/>
          </w:tcPr>
          <w:p>
            <w:pPr>
              <w:spacing w:after="40"/>
            </w:pPr>
            <w:r>
              <w:rPr>
                <w:b/>
                <w:sz w:val="21"/>
              </w:rPr>
              <w:t>Саны</w:t>
            </w:r>
          </w:p>
        </w:tc>
        <w:tc>
          <w:tcPr>
            <w:tcW w:type="dxa" w:w="7257"/>
            <w:vAlign w:val="center"/>
          </w:tcPr>
          <w:p>
            <w:pPr>
              <w:spacing w:after="40"/>
            </w:pPr>
            <w:r>
              <w:rPr>
                <w:sz w:val="21"/>
              </w:rPr>
              <w:t>1 жиынтық (қызмет / пайдалану құқығы — сатып алуды рәсімдеу тәртібіне сәйкес).</w:t>
            </w:r>
          </w:p>
        </w:tc>
      </w:tr>
      <w:tr>
        <w:tc>
          <w:tcPr>
            <w:tcW w:type="dxa" w:w="2041"/>
            <w:vAlign w:val="center"/>
          </w:tcPr>
          <w:p>
            <w:pPr>
              <w:spacing w:after="40"/>
            </w:pPr>
            <w:r>
              <w:rPr>
                <w:b/>
                <w:sz w:val="21"/>
              </w:rPr>
              <w:t>Жеткізілім құрамы</w:t>
            </w:r>
          </w:p>
        </w:tc>
        <w:tc>
          <w:tcPr>
            <w:tcW w:type="dxa" w:w="7257"/>
            <w:vAlign w:val="center"/>
          </w:tcPr>
          <w:p>
            <w:pPr>
              <w:spacing w:after="40"/>
            </w:pPr>
            <w:r>
              <w:rPr>
                <w:sz w:val="21"/>
              </w:rPr>
              <w:t>1) Құрылыстағы өндірістік ресурстардың сметалық-нормативтік базасының электрондық нұсқасын 1 жыл бойы пайдалану құқығы.</w:t>
              <w:br/>
              <w:t>2) Қолданыстағы АВС бағдарламалық кешенінің жұмыс орны үшін жаңартулар мен техникалық қолдауға жылдық жазылым.</w:t>
            </w:r>
          </w:p>
        </w:tc>
      </w:tr>
      <w:tr>
        <w:tc>
          <w:tcPr>
            <w:tcW w:type="dxa" w:w="2041"/>
            <w:vAlign w:val="center"/>
          </w:tcPr>
          <w:p>
            <w:pPr>
              <w:spacing w:after="40"/>
            </w:pPr>
            <w:r>
              <w:rPr>
                <w:b/>
                <w:sz w:val="21"/>
              </w:rPr>
              <w:t>Талаптар</w:t>
            </w:r>
          </w:p>
        </w:tc>
        <w:tc>
          <w:tcPr>
            <w:tcW w:type="dxa" w:w="7257"/>
            <w:vAlign w:val="center"/>
          </w:tcPr>
          <w:p>
            <w:pPr>
              <w:spacing w:after="40"/>
            </w:pPr>
            <w:r>
              <w:rPr>
                <w:sz w:val="21"/>
              </w:rPr>
              <w:t>Бұрын орнатылған және лицензияланған жұмыс орнының жұмысқа қабілеттілігін сақтау; 12 ай бойы жаңартулар мен консультациялық техникалық қолдау алу. Қолданыстағы лицензиямен және тапсырыс берушінің орнатылған жұмыс орнымен үйлесімділігі жеткізілгенге дейін расталуға тиіс.</w:t>
            </w:r>
          </w:p>
        </w:tc>
      </w:tr>
      <w:tr>
        <w:tc>
          <w:tcPr>
            <w:tcW w:type="dxa" w:w="2041"/>
            <w:vAlign w:val="center"/>
          </w:tcPr>
          <w:p>
            <w:pPr>
              <w:spacing w:after="40"/>
            </w:pPr>
            <w:r>
              <w:rPr>
                <w:b/>
                <w:sz w:val="21"/>
              </w:rPr>
              <w:t>Жеткізілім нәтижесі</w:t>
            </w:r>
          </w:p>
        </w:tc>
        <w:tc>
          <w:tcPr>
            <w:tcW w:type="dxa" w:w="7257"/>
            <w:vAlign w:val="center"/>
          </w:tcPr>
          <w:p>
            <w:pPr>
              <w:spacing w:after="40"/>
            </w:pPr>
            <w:r>
              <w:rPr>
                <w:sz w:val="21"/>
              </w:rPr>
              <w:t>Сметалық-нормативтік базаны пайдалануға, жаңартулар мен техникалық қолдауға келісілген жылдық кезеңге белсендірілген құқықтары бар қолданыстағы жұмыс орны.</w:t>
            </w:r>
          </w:p>
        </w:tc>
      </w:tr>
    </w:tbl>
    <w:p>
      <w:pPr>
        <w:spacing w:after="0"/>
      </w:pPr>
    </w:p>
    <w:p>
      <w:pPr>
        <w:jc w:val="center"/>
      </w:pPr>
      <w:r>
        <w:rPr>
          <w:b/>
        </w:rPr>
        <w:t>2-ЛОТ. Жаңа АВС БК жұмыс орны</w:t>
      </w:r>
    </w:p>
    <w:tbl>
      <w:tblPr>
        <w:tblStyle w:val="TableGrid"/>
        <w:tblW w:type="auto" w:w="0"/>
        <w:jc w:val="center"/>
        <w:tblLook w:firstColumn="1" w:firstRow="1" w:lastColumn="0" w:lastRow="0" w:noHBand="0" w:noVBand="1" w:val="04A0"/>
      </w:tblPr>
      <w:tblGrid>
        <w:gridCol w:w="2041"/>
        <w:gridCol w:w="7257"/>
      </w:tblGrid>
      <w:tr>
        <w:tc>
          <w:tcPr>
            <w:tcW w:type="dxa" w:w="2041"/>
            <w:vAlign w:val="center"/>
          </w:tcPr>
          <w:p>
            <w:pPr>
              <w:spacing w:after="40"/>
            </w:pPr>
            <w:r>
              <w:rPr>
                <w:b/>
                <w:sz w:val="21"/>
              </w:rPr>
              <w:t>Саны</w:t>
            </w:r>
          </w:p>
        </w:tc>
        <w:tc>
          <w:tcPr>
            <w:tcW w:type="dxa" w:w="7257"/>
            <w:vAlign w:val="center"/>
          </w:tcPr>
          <w:p>
            <w:pPr>
              <w:spacing w:after="40"/>
            </w:pPr>
            <w:r>
              <w:rPr>
                <w:sz w:val="21"/>
              </w:rPr>
              <w:t>1 жиынтық (қызмет / пайдалану құқығы — сатып алуды рәсімдеу тәртібіне сәйкес).</w:t>
            </w:r>
          </w:p>
        </w:tc>
      </w:tr>
      <w:tr>
        <w:tc>
          <w:tcPr>
            <w:tcW w:type="dxa" w:w="2041"/>
            <w:vAlign w:val="center"/>
          </w:tcPr>
          <w:p>
            <w:pPr>
              <w:spacing w:after="40"/>
            </w:pPr>
            <w:r>
              <w:rPr>
                <w:b/>
                <w:sz w:val="21"/>
              </w:rPr>
              <w:t>Жеткізілім құрамы</w:t>
            </w:r>
          </w:p>
        </w:tc>
        <w:tc>
          <w:tcPr>
            <w:tcW w:type="dxa" w:w="7257"/>
            <w:vAlign w:val="center"/>
          </w:tcPr>
          <w:p>
            <w:pPr>
              <w:spacing w:after="40"/>
            </w:pPr>
            <w:r>
              <w:rPr>
                <w:sz w:val="21"/>
              </w:rPr>
              <w:t>1) Құрылыстағы өндірістік ресурстардың сметалық-нормативтік базасының электрондық нұсқасын 1 жыл бойы пайдалану құқығы.</w:t>
              <w:br/>
              <w:t>2) Аппараттық қорғау кілтіне байланыстырылған, жаңартулар мен техникалық қолдауға жылдық жазылымы бар АВС бағдарламалық кешенін пайдалану құқығы.</w:t>
            </w:r>
          </w:p>
        </w:tc>
      </w:tr>
      <w:tr>
        <w:tc>
          <w:tcPr>
            <w:tcW w:type="dxa" w:w="2041"/>
            <w:vAlign w:val="center"/>
          </w:tcPr>
          <w:p>
            <w:pPr>
              <w:spacing w:after="40"/>
            </w:pPr>
            <w:r>
              <w:rPr>
                <w:b/>
                <w:sz w:val="21"/>
              </w:rPr>
              <w:t>Талаптар</w:t>
            </w:r>
          </w:p>
        </w:tc>
        <w:tc>
          <w:tcPr>
            <w:tcW w:type="dxa" w:w="7257"/>
            <w:vAlign w:val="center"/>
          </w:tcPr>
          <w:p>
            <w:pPr>
              <w:spacing w:after="40"/>
            </w:pPr>
            <w:r>
              <w:rPr>
                <w:sz w:val="21"/>
              </w:rPr>
              <w:t>Бір жаңа жұмыс орнына арналған жиынтықты беру; бағдарламаны пайдалануға қажетті белсендіру құралдарын және/немесе аппараттық қорғау кілтін ұсыну. Техникалық қолдау мен жаңартулар — 12 ай бойы.</w:t>
            </w:r>
          </w:p>
        </w:tc>
      </w:tr>
      <w:tr>
        <w:tc>
          <w:tcPr>
            <w:tcW w:type="dxa" w:w="2041"/>
            <w:vAlign w:val="center"/>
          </w:tcPr>
          <w:p>
            <w:pPr>
              <w:spacing w:after="40"/>
            </w:pPr>
            <w:r>
              <w:rPr>
                <w:b/>
                <w:sz w:val="21"/>
              </w:rPr>
              <w:t>Жеткізілім нәтижесі</w:t>
            </w:r>
          </w:p>
        </w:tc>
        <w:tc>
          <w:tcPr>
            <w:tcW w:type="dxa" w:w="7257"/>
            <w:vAlign w:val="center"/>
          </w:tcPr>
          <w:p>
            <w:pPr>
              <w:spacing w:after="40"/>
            </w:pPr>
            <w:r>
              <w:rPr>
                <w:sz w:val="21"/>
              </w:rPr>
              <w:t>АВС БК мен нормативтік базаны пайдалану құқықтары берілген, жаңартулар мен техникалық қолдау жазылымы белсендірілген, жұмысқа қабілетті жаңа жұмыс орны.</w:t>
            </w:r>
          </w:p>
        </w:tc>
      </w:tr>
    </w:tbl>
    <w:p>
      <w:pPr>
        <w:spacing w:after="0"/>
      </w:pPr>
    </w:p>
    <w:p>
      <w:pPr>
        <w:jc w:val="center"/>
      </w:pPr>
      <w:r>
        <w:rPr>
          <w:b/>
        </w:rPr>
        <w:t>ЖЕТКІЗІЛІМНІҢ ЖАЛПЫ ШАРТТАРЫ</w:t>
      </w:r>
    </w:p>
    <w:p>
      <w:pPr>
        <w:jc w:val="both"/>
      </w:pPr>
      <w:r>
        <w:rPr>
          <w:b w:val="0"/>
        </w:rPr>
        <w:t>• Жеткізу нысаны: электрондық түрде; жаңа жұмыс орны үшін лицензиялау тәсілінде көзделсе, аппараттық қорғау кілті беріледі.</w:t>
      </w:r>
    </w:p>
    <w:p>
      <w:pPr>
        <w:jc w:val="both"/>
      </w:pPr>
      <w:r>
        <w:rPr>
          <w:b w:val="0"/>
        </w:rPr>
        <w:t>• Жеткізу мерзімі: шартта көзделген талаптар орындалғаннан кейін 3–10 жұмыс күні ішінде (бастапқы коммерциялық ұсыныстарға сәйкес).</w:t>
      </w:r>
    </w:p>
    <w:p>
      <w:pPr>
        <w:jc w:val="both"/>
      </w:pPr>
      <w:r>
        <w:rPr>
          <w:b w:val="0"/>
        </w:rPr>
        <w:t>• Растаушы құжаттар: пайдалану құқығының берілгенін растайтын құжат, жазылым мен нормативтік базаның қолданылу мерзімдері туралы мәліметтер, жаңартуларды алу және техникалық қолдауға жүгіну тәртібі, аппараттық кілт болған жағдайда оны беру құжаттары.</w:t>
      </w:r>
    </w:p>
    <w:p>
      <w:pPr>
        <w:jc w:val="both"/>
      </w:pPr>
      <w:r>
        <w:rPr>
          <w:b w:val="0"/>
        </w:rPr>
        <w:t>• Қабылдау: бағдарламаның іске қосылуын (немесе қолданыстағы белсендіруін), нормативтік базаға қолжетімділікті, жазылым мерзімін және лицензиялау құралдарының берілуін тексеру.</w:t>
      </w:r>
    </w:p>
    <w:p>
      <w:pPr>
        <w:jc w:val="both"/>
      </w:pPr>
      <w:r>
        <w:rPr>
          <w:b w:val="0"/>
        </w:rPr>
        <w:t>• АВС БК атауы бұрыннан қолданылып жүрген бағдарламалық ортамен үйлесімділікті қамтамасыз ету қажеттілігіне байланысты көрсетілген. Сатып алу құжаттамасын дайындау кезінде тапсырыс беруші нақты бағдарламалық қамтамасыз етуді көрсету мен сатып алу тәсілінің заңдылығын ҚР-ның қолданыстағы талаптарына сәйкес тексеруге тиіс.</w:t>
      </w:r>
    </w:p>
    <w:p>
      <w:pPr>
        <w:jc w:val="both"/>
      </w:pPr>
      <w:r>
        <w:rPr>
          <w:b w:val="0"/>
        </w:rPr>
        <w:t>Ескертпе: коммерциялық ұсыныстарда ҚҚС-тың көрсетілуіне қатысты (салық сомасы және төленетін қорытынды сома) нақтылауды қажет ететін мәселелер бар. Бюджетті бекіту және сатып алуды жариялау алдында жеткізушіден баға мен ҚҚС-тың нақтыланған есебін сұрату қажет.</w:t>
      </w:r>
    </w:p>
    <w:p>
      <w:pPr>
        <w:jc w:val="both"/>
      </w:pPr>
      <w:r>
        <w:rPr>
          <w:b w:val="0"/>
        </w:rPr>
        <w:t>Негіздеме: «CAD.kz» ЖШС-нің 12.10.2026 ж. № 638-1204 және № 638-1205 коммерциялық ұсыныстары.</w:t>
      </w:r>
    </w:p>
    <w:p/>
    <w:p>
      <w:pPr>
        <w:jc w:val="both"/>
      </w:pPr>
      <w:r>
        <w:rPr>
          <w:b w:val="0"/>
        </w:rPr>
        <w:t>«Жамбыл су» ШЖҚ МКК ӨТБ бастығы __________________ Сейтбеков М.</w:t>
      </w:r>
    </w:p>
    <w:p>
      <w:pPr>
        <w:jc w:val="both"/>
      </w:pPr>
      <w:r>
        <w:rPr>
          <w:b w:val="0"/>
        </w:rPr>
        <w:t>«____» ______________ 2026 ж.</w:t>
      </w:r>
    </w:p>
    <w:sectPr w:rsidR="00FC693F" w:rsidRPr="0006063C" w:rsidSect="00034616">
      <w:pgSz w:w="12240" w:h="15840"/>
      <w:pgMar w:top="1020" w:right="1134" w:bottom="96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