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77D" w:rsidRDefault="00C7677D">
      <w:pPr>
        <w:pStyle w:val="a3"/>
        <w:pBdr>
          <w:bottom w:val="single" w:sz="8" w:space="9" w:color="4F81BD"/>
        </w:pBd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C7677D" w:rsidRDefault="00393EF9">
      <w:pPr>
        <w:pStyle w:val="a3"/>
        <w:pBdr>
          <w:bottom w:val="single" w:sz="8" w:space="9" w:color="4F81BD"/>
        </w:pBd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ТЕХНИКАЛЫҚ ЕРЕКШЕЛІК</w:t>
      </w:r>
    </w:p>
    <w:p w:rsidR="00C7677D" w:rsidRDefault="00393EF9">
      <w:pPr>
        <w:pStyle w:val="normal"/>
        <w:spacing w:after="0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орта білім беру ұйымының медициналық пунктін цифрлық медициналық бұйымдармен және телемедициналық жүйемен жарақтандыру және жұмыс істеуін қамтамасыз ету жөніндегі кешенді қызметті сатып алуға</w:t>
      </w:r>
    </w:p>
    <w:tbl>
      <w:tblPr>
        <w:tblStyle w:val="aff9"/>
        <w:tblW w:w="10540" w:type="dxa"/>
        <w:jc w:val="center"/>
        <w:tblInd w:w="0" w:type="dxa"/>
        <w:tblLayout w:type="fixed"/>
        <w:tblLook w:val="0400"/>
      </w:tblPr>
      <w:tblGrid>
        <w:gridCol w:w="2552"/>
        <w:gridCol w:w="7988"/>
      </w:tblGrid>
      <w:tr w:rsidR="00C7677D">
        <w:trPr>
          <w:cantSplit/>
          <w:tblHeader/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Қызметтің атауы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Орта (бастауыш, негізгі орта, жалпы орта) білім беру ұйымының медициналық пунктін цифрлық медициналық бұйымдармен және телемедициналық жүйемен жарақтандыру, қосу, техникалық сүйемелдеу және жұмыс істеуін қамтамасыз ету жөніндегі кешенді қызмет.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Өлшем бірл</w:t>
            </w:r>
            <w:r>
              <w:rPr>
                <w:b/>
                <w:bCs/>
                <w:color w:val="000000"/>
                <w:sz w:val="20"/>
                <w:szCs w:val="20"/>
              </w:rPr>
              <w:t>ігі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Шарттың қолданылу кезеңіне бір объектіге (білім беру ұйымының медициналық пунктіне) бір қызмет.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Объектілер саны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Қызметтерді көрсету мерзімі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2026 жылғы 31 желтоқсанға дейін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Жабдықты жеткізу мерзімі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Шартқа қол қойылған күннен бастап 61 күнтізбелік күн ішінде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Қызметті көрсету орны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Тапсырыс берушінің объектілер тізбесіне сәйкес (осы техникалық ерекшелікке 1-қосымша).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Қызметті көрсету моделі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Медициналық бұйымдар мен жабдықты Жеткізуші қызмет көрсету мерзіміне уақытша пайдалануға береді, бұл ретте меншік құқығы Тапсырыс берушіге өтпейді.</w:t>
            </w:r>
          </w:p>
        </w:tc>
      </w:tr>
    </w:tbl>
    <w:p w:rsidR="00C7677D" w:rsidRDefault="00C7677D">
      <w:pPr>
        <w:pStyle w:val="normal"/>
        <w:spacing w:after="0"/>
        <w:rPr>
          <w:sz w:val="20"/>
          <w:szCs w:val="20"/>
        </w:rPr>
      </w:pPr>
    </w:p>
    <w:p w:rsidR="00C7677D" w:rsidRDefault="00C7677D">
      <w:pPr>
        <w:pStyle w:val="normal"/>
        <w:spacing w:after="0"/>
        <w:rPr>
          <w:sz w:val="20"/>
          <w:szCs w:val="20"/>
        </w:rPr>
      </w:pPr>
    </w:p>
    <w:tbl>
      <w:tblPr>
        <w:tblStyle w:val="affa"/>
        <w:tblW w:w="1055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423"/>
        <w:gridCol w:w="1559"/>
        <w:gridCol w:w="7177"/>
        <w:gridCol w:w="1400"/>
      </w:tblGrid>
      <w:tr w:rsidR="00C7677D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Сипаттамалар түрі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Талаптардың сипаттамасы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Талап түрі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Қызметке қойылатын жалпы талаптар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Жеткізуші «кілт тапсырымен» кешенді қызмет көрсетеді, оның ішінде: медициналық бұйымдарды уақытша пайдалануға беру; жеткізу, орнату және баптау; телемедициналық жүйеге қосу; пайдалануға енгізу; оқыту; техникалық қызмет көрсету, жөндеу және ауыстыру; лиценз</w:t>
            </w:r>
            <w:r>
              <w:rPr>
                <w:color w:val="000000"/>
                <w:sz w:val="20"/>
                <w:szCs w:val="20"/>
              </w:rPr>
              <w:t>иялар мен жаңартуларды беру; техникалық қолдау және ай сайынғы есептілік. Қызметті толық көрсету үшін қажетті барлық шығыстар шарттың құнына енгізіледі.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Нормативтік талаптар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Қызмет Қазақстан Республикасының денсаулық сақтау, мемлекеттік сатып алу, дербес деректер, ақпараттандыру, санитариялық-эпидемиологиялық саламаттылық, электр қауіпсіздігі және еңбекті қорғау туралы заңнамасын сақтай отырып көрсетіледі. Тіркеуге жататын мед</w:t>
            </w:r>
            <w:r>
              <w:rPr>
                <w:color w:val="000000"/>
                <w:sz w:val="20"/>
                <w:szCs w:val="20"/>
              </w:rPr>
              <w:t>ициналық бұйымдардың Қазақстан Республикасының аумағында айналысқа жіберуге мүмкіндік беретін Қазақстан Республикасының және/немесе ЕАЭО-ның қолданыстағы тіркеу куәлігі болуға тиіс.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Бір объектіге арналған базалық жиынтықтың құрамы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 Цифрлық көпарналы электрокардиограф – 1 бірлік.</w:t>
            </w:r>
          </w:p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 Цифрлық стетофонендоскоп – 1 бірлік.</w:t>
            </w:r>
          </w:p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 Цифрлық пульсоксиметр – 1 бірлік.</w:t>
            </w:r>
          </w:p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 Цифрлық бойөлшегіш пен таразы – 1 жиынтық.</w:t>
            </w:r>
          </w:p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 Цифрлық отоскоп – 1 бірлік.</w:t>
            </w:r>
          </w:p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 Цифрлық тамақ камерасы – 1 бірлік.</w:t>
            </w:r>
          </w:p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 Телемедициналық жүйе – 1 жиынтық.</w:t>
            </w:r>
          </w:p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Жиынтыққа штаттық керек-жарақтар, кабельдер, зарядтау құрылғылары, аккумуляторлар, лицензиялар және бастапқы шығыс материалдары кіреді.</w:t>
            </w:r>
          </w:p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Тиісті функциялар тіркеу куәлігімен және өндірушінің пайдалану құжаттамасымен раста</w:t>
            </w:r>
            <w:r>
              <w:rPr>
                <w:color w:val="000000"/>
                <w:sz w:val="20"/>
                <w:szCs w:val="20"/>
              </w:rPr>
              <w:t>лған жағдайда, бірнеше позицияны бір көпфункциялы медициналық бұйымның құрамында орындауға жол беріледі.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Цифрлық көпарналы электрокардиограф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Мақсаты: оқушының ЭКГ-сын тіркеу, сақтау және беру. Ең төменгі талаптар: 12 стандартты бұрманы бір мезгілде тіркеу; толық 12 арналы есеппен кемінде 6 тіркеу/басып шығару арнасы; дискреттеу жиілігі кемінде 500 Гц; кіріс кедергісі кемінде 10 МОм; синфазалық </w:t>
            </w:r>
            <w:r>
              <w:rPr>
                <w:color w:val="000000"/>
                <w:sz w:val="20"/>
                <w:szCs w:val="20"/>
              </w:rPr>
              <w:t xml:space="preserve">кедергіні басу кемінде 100 дБ; жазу жылдамдықтары 25 және 50 мм/с; сезімталдығы 5, 10 және 20 мм/мВ; желілік кедергі, дрейф және бұлшықет тремор сүзгілері; балалар мен ересектерге арналған режимдер; аралықтарды автоматты өлшеу; кемінде 100 зерттеу жады не </w:t>
            </w:r>
            <w:r>
              <w:rPr>
                <w:color w:val="000000"/>
                <w:sz w:val="20"/>
                <w:szCs w:val="20"/>
              </w:rPr>
              <w:t>телемедициналық жүйеде сақтау; PDF және машинамен оқылатын форматқа экспорттау; USB/Wi-Fi/Bluetooth/Ethernet; автономды жұмыс кемінде 2 сағат. Жиынтығы: пациент кабелі, ересектер мен балаларға арналған электродтар, қоректену көзі, аккумулятор, кейс, принте</w:t>
            </w:r>
            <w:r>
              <w:rPr>
                <w:color w:val="000000"/>
                <w:sz w:val="20"/>
                <w:szCs w:val="20"/>
              </w:rPr>
              <w:t>р болған жағдайда қағаз.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Цифрлық стетофонендоскоп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Мақсаты: жүрек пен өкпе дыбыстарын аускультациялау, жазу және қашықтықтан беру. Жүрек және өкпе режимдері; жиілік диапазоны 20–2 000 Гц-тен тар емес немесе баламалы; жазу ұзақтығы кемінде 30 секунд; нақты уақыт режимінде және/немесе жазба түрінде беру; фон</w:t>
            </w:r>
            <w:r>
              <w:rPr>
                <w:color w:val="000000"/>
                <w:sz w:val="20"/>
                <w:szCs w:val="20"/>
              </w:rPr>
              <w:t>дық шуды басумен күшейтуді және дыбыс деңгейін реттеу; дыбысты жеткізу жиынтығына кіретін жапсырма құлаққаптарға шығару (кедергісі 32 Ом, жиілік сипаттамасы 20 Гц – 20 кГц); USB және/немесе сымсыз қосылу; автономды жұмыс кемінде 4 сағат; дезинфекциялауға б</w:t>
            </w:r>
            <w:r>
              <w:rPr>
                <w:color w:val="000000"/>
                <w:sz w:val="20"/>
                <w:szCs w:val="20"/>
              </w:rPr>
              <w:t>олатын жанасу беттері; зарядтау құрылғысы және кейс.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Цифрлық пульсоксиметр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SpO₂ диапазоны 70–100 %-дан тар емес; 80–100 % диапазонындағы қателік ±2 %-дан аспайды; пульс жиілігі 30–240 соғ/мин-тен тар емес; қателік ±3 соғ/мин немесе ±3 %-дан аспайды; SpO₂, пульс, сигнал сапасы/плетизмограмма және заряд деңгейінің көрсетілуі; шекті</w:t>
            </w:r>
            <w:r>
              <w:rPr>
                <w:color w:val="000000"/>
                <w:sz w:val="20"/>
                <w:szCs w:val="20"/>
              </w:rPr>
              <w:t>к мәндер бойынша дабыл; мектеп жасындағы балалар мен ересектерге арналған датчик; автономды қоректену; нәтиженің телемедициналық жүйеде автоматты түрде не оператор арқылы сақталуы.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Цифрлық бойөлшегіш пен таразы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Өлшеу шегі кемінде 200 кг; масса дискреттілігі 0,1 кг-нан аспайды; бой диапазоны 80–220 см-ден тар емес; бой дискреттілігі 0,1 см-ден аспайды; тіркелген бой мен масса мәндері негізінде дене массасы индексін құрылғының не телемедициналық жүйенің автоматты е</w:t>
            </w:r>
            <w:r>
              <w:rPr>
                <w:color w:val="000000"/>
                <w:sz w:val="20"/>
                <w:szCs w:val="20"/>
              </w:rPr>
              <w:t>септеуі; орнықты сырғымайтын негіз; дисплей; нәтижелерді телемедициналық жүйеге қолмен немесе автоматты беру; автономды қоректену және/немесе желіден қоректену; қолданылатын жағдайда салыстырып тексеру/калибрлеу құжаттары.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Цифрлық тамақ камерасы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Ажыратымдылығы кемінде 1280×720; жарықдиодты жарықтандыру; ауыз қуысы мен жұтқыншақты қарауға арналған фокустау; кескінді корпустан не бағдарламалық түрде түсіру; USB және/немесе сымсыз беру; пациентке байланыстырылған фото; телемеди</w:t>
            </w:r>
            <w:r>
              <w:rPr>
                <w:color w:val="000000"/>
                <w:sz w:val="20"/>
                <w:szCs w:val="20"/>
              </w:rPr>
              <w:t>циналық жүйемен үйлесімділік; дезинфекциялау және кемінде екі типөлшемді бір реттік ұштықтарды қолдану мүмкіндігі; ұштықтардың бастапқы жиынтығы.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Цифрлық отоскоп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Түрлі-түсті камера кемінде 1280×720; жарықдиодты жарықтандыру; медициналық сапалы кадрды автоматты іріктей отырып кадрлар сериясын тіркеу; кескінді нақты уақыт режимінде беру; балалар мен ересектерге арналған кемінде екі типөлшемді ауыстырмалы воронкалар; </w:t>
            </w:r>
            <w:r>
              <w:rPr>
                <w:color w:val="000000"/>
                <w:sz w:val="20"/>
                <w:szCs w:val="20"/>
              </w:rPr>
              <w:t>бір реттік воронкаларды қолдану мүмкіндігі; USB және/немесе Wi-Fi; автономды жұмыс кемінде 2 сағат; өндірушінің нұсқаулығына сәйкес өңдеу мүмкіндігі.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Телемедициналық жүйенің аппараттық бөлігі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Планшет: экраны кемінде 8 дюйм, жедел жады кемінде 4 ГБ, жинақтауышы кемінде 64 ГБ, камера және микрофон; кірістірілген камера жеткіліксіз болған жағдайда сыртқы камера; Wi-Fi; лицензиялық ОЖ және қорғаныш БҚ; микрофоны бар жапсырма құлаққаптар; қорғаныш к</w:t>
            </w:r>
            <w:r>
              <w:rPr>
                <w:color w:val="000000"/>
                <w:sz w:val="20"/>
                <w:szCs w:val="20"/>
              </w:rPr>
              <w:t>ейс; кабельдер мен адаптерлер. Жиынтық бейнебайланысты және кемінде бір медициналық бұйымнан деректерді бір мезгілде алуды қамтамасыз етеді.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Телемедициналық бағдарламалық қамтылым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Пациентті тіркеу және тексеріп-қараудың электрондық картасы; ақпараттық қауіпсіздік сертификатының болуы; қорғалған бейнеконсультация; ЭКГ-ны, кескіндерді, бейнені, дыбысты және сандық көрсеткіштерді беру; күнін, уақытын, құрылғыны және пайдаланушыны сақта</w:t>
            </w:r>
            <w:r>
              <w:rPr>
                <w:color w:val="000000"/>
                <w:sz w:val="20"/>
                <w:szCs w:val="20"/>
              </w:rPr>
              <w:t>у; шағымдарды, анамнезді, қорытынды мен ұсынымдарды енгізу; тексеріп-қарау хаттамасын қалыптастыру және оны PDF форматына экспорттау; пайдаланушылар әрекеттерінің журналы; рөлдік қолжетімділік; хабардар етілген келісімді тіркеу; орыс және қазақ тілдеріндег</w:t>
            </w:r>
            <w:r>
              <w:rPr>
                <w:color w:val="000000"/>
                <w:sz w:val="20"/>
                <w:szCs w:val="20"/>
              </w:rPr>
              <w:t>і интерфейс; іздеу және есептер; резервтеу; қосымша ақысыз жаңартулар; жарнаманың болмауы.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Интеграция және үйлесімділік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Құжатталған ашық REST API және/немесе HL7 FHIR интерфейстері; бір өндірушіге жабық байланыссыз деректерді экспорттау; деректер түріне қарай JSON/XML/PDF/JPEG/PNG/WAV/MP4 форматтары; Тапсырыс беруші тарапынан техникалық шарттар берілген кезде ҚР ДСМ-нің жән</w:t>
            </w:r>
            <w:r>
              <w:rPr>
                <w:color w:val="000000"/>
                <w:sz w:val="20"/>
                <w:szCs w:val="20"/>
              </w:rPr>
              <w:t>е Тапсырыс берушінің ақпараттық жүйелерімен интеграция; интеграциялық модуль лицензиялары құнға енгізілген; интеграция аяқталғанға дейін деректерді қауіпсіз қолмен жүктеп алу/жүктеу қолжетімді.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Ақпараттық қауіпсіздік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Медициналық деректерді Қазақстан Республикасының аумағында сақтау; Қазақстан Республикасының ақпараттық қауіпсіздік саласындағы бірыңғай талаптарын сақтау; TLS 1.2-ден төмен емес; деректерді сақтау кезінде қорғау; әкімшілер мен медицина қызметкерлері үшін </w:t>
            </w:r>
            <w:r>
              <w:rPr>
                <w:color w:val="000000"/>
                <w:sz w:val="20"/>
                <w:szCs w:val="20"/>
              </w:rPr>
              <w:t xml:space="preserve">көпфакторлы аутентификация; кіру, қарау, өзгерту және жүктеп алу журналы; белсенді емес сеансты автоматты аяқтау; ең аз қолжетімділік құқықтары; тәулігіне кемінде бір рет резервтік көшірме жасау; ақпараттық қауіпсіздік инциденті туралы Тапсырыс берушіні 2 </w:t>
            </w:r>
            <w:r>
              <w:rPr>
                <w:color w:val="000000"/>
                <w:sz w:val="20"/>
                <w:szCs w:val="20"/>
              </w:rPr>
              <w:t>сағаттан кешіктірмей хабардар ету; дербес медициналық деректерді жарнамалық мақсатта пайдалануға және оларды заңды негізсіз үшінші тұлғаларға беруге тыйым салу; иесіздендірілген деректерді статистикалық, ғылыми және зерттеу мақсаттарында, оның ішінде дәріг</w:t>
            </w:r>
            <w:r>
              <w:rPr>
                <w:color w:val="000000"/>
                <w:sz w:val="20"/>
                <w:szCs w:val="20"/>
              </w:rPr>
              <w:t>ерлік шешім қабылдауды қолдау алгоритмдерін жетілдіру үшін өңдеуге қайтымсыз иесіздендіру шартымен және Қазақстан Республикасының дербес деректер туралы заңнамасына сәйкес жол беріледі; шарт аяқталғаннан кейін деректерді белгіленген тәртіппен беру және жою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Жеткізу және пайдалануға енгізу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Үй-жай мен желіні тексеру; орналастыруды келісу; жеткізу және монтаждау; тіркелгілерді баптау; әрбір бұйымды тексеру; сынақтық бейнеконсультация және нәтижелерді беру; сервистік нөмірлермен таңбалау; нұсқаулықтарды беру; дайындық актісі және пайдалануға ен</w:t>
            </w:r>
            <w:r>
              <w:rPr>
                <w:color w:val="000000"/>
                <w:sz w:val="20"/>
                <w:szCs w:val="20"/>
              </w:rPr>
              <w:t>гізу актісі. Бір объектіні іске қосу мерзімі – Тапсырыс беруші дайын үй-жайды және инфрақұрылымға қолжетімділікті берген жағдайда, жабдық объектінің елді мекеніне жеткізілген күннен бастап 10 жұмыс күнінен аспайды, егер шартта өзгеше белгіленбесе.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Пайдаланушыларды оқыту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Объектіде кемінде екі медицина қызметкерін және бір әкімшіні күндізгі немесе қашықтық форматта оқыту. Тақырыптары: қауіпсіз пайдалану, тексерулер және деректер сапасы, жүйеде жұмыс істеу, деректерді қорғау, қолдау қызметіне жүгіну, істен шығу кезіндегі әре</w:t>
            </w:r>
            <w:r>
              <w:rPr>
                <w:color w:val="000000"/>
                <w:sz w:val="20"/>
                <w:szCs w:val="20"/>
              </w:rPr>
              <w:t>кеттер. Кемінде 4 академиялық сағат. Нұсқаулықтар және бейнематериалдар; Тапсырыс берушінің өтінімі бойынша персонал ауысқан кезде бір рет қайталама оқыту.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Техникалық қызмет көрсету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Медициналық бұйым өндірушісінің пайдалану құжаттамасында белгіленген көлемде және кезеңділікпен профилактикалық қызмет көрсету; жұмысқа қабілеттілікті қашықтықтан мониторингтеу және бағдарламалық бөлікке профилактикалық қызмет көрсету; диагностика, жөндеу </w:t>
            </w:r>
            <w:r>
              <w:rPr>
                <w:color w:val="000000"/>
                <w:sz w:val="20"/>
                <w:szCs w:val="20"/>
              </w:rPr>
              <w:t>және ауыстыру; қолданылатын жағдайда салыстырып тексеру/калибрлеу; БҚ жаңарту; қызмет көрсету журналы; қосалқы бөлшектер мен шығыс материалдары; жөндеу уақытына орнатылғаннан төмен емес сипаттамалары бар ауыстырмалы жабдық.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Жабдықтың сапасы мен жай-күйі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Алғашқы орнату кезінде жабдық жаңа, пайдаланылмаған, қалпына келтірілмеген және ақаусыз болады; таңбалау мен сериялық нөмірлер құжаттамаға сәйкес келеді.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Кепілдік, ауыстыру және SLA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Кепілдік қызмет көрсетудің бүкіл мерзімі бойы және пайдалануға енгізілген күннен бастап кемінде 12 ай қолданылады. Сыни ақаулық: қашықтықтан диагностиканы бастау 2 сағаттан кешіктірілмейді; ауыстырмалы құрылғы/шығу – облыс орталығында 3 жұмыс күнінен, өзге</w:t>
            </w:r>
            <w:r>
              <w:rPr>
                <w:color w:val="000000"/>
                <w:sz w:val="20"/>
                <w:szCs w:val="20"/>
              </w:rPr>
              <w:t xml:space="preserve"> елді мекендерде 7 жұмыс күнінен кешіктірілмейді; ауыстыру 7 жұмыс күнінен кешіктірілмейді. Платформаның қолжетімділігі айына кемінде 99,5 %. Сыни инцидент: ден қою 2 сағат, айналып өту шешімі/қалпына келтіру 24 сағат; елеулі: ден қою 6 сағат, жою 3 жұмыс </w:t>
            </w:r>
            <w:r>
              <w:rPr>
                <w:color w:val="000000"/>
                <w:sz w:val="20"/>
                <w:szCs w:val="20"/>
              </w:rPr>
              <w:t>күні; сыни емес: ден қою 5 жұмыс күні.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Жеткізушінің құжаттамасы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Модельдері, сериялық нөмірлері және шығарылған жылы көрсетілген жабдық тізбесі; тіркеу куәліктері; орыс және/немесе қазақ тіліндегі нұсқаулықтар; қолданылатын жағдайда салыстырып тексеру/калибрлеу құжаттары; қолданылатын жағдайда медициналық емес жабдыққа </w:t>
            </w:r>
            <w:r>
              <w:rPr>
                <w:color w:val="000000"/>
                <w:sz w:val="20"/>
                <w:szCs w:val="20"/>
              </w:rPr>
              <w:t xml:space="preserve">сертификаттар/декларациялар; БҚ лицензиялары; ақпараттық қауіпсіздік сынақтарының сертификаты/хаттамасы; ақпараттық қауіпсіздік сәулеті мен шараларының сипаттамасы; қолдау регламенті; оқыту бағдарламасы мен хаттамасы; пайдалануға енгізу актілері; қабылдау </w:t>
            </w:r>
            <w:r>
              <w:rPr>
                <w:color w:val="000000"/>
                <w:sz w:val="20"/>
                <w:szCs w:val="20"/>
              </w:rPr>
              <w:t>сынақтарының хаттамасы.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Қабылдау сынақтары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Жиынтықтылық; барлық құрылғылардың жұмысы; сынақтық өлшеу; нәтиженің пациент картасында сақталуы; ЭКГ-ны, аускультативтік дыбысты, SpO₂-ні, бой/массаны және отоскоп кескінін беру; кемінде 10 минут бейнеконсультация; PDF қалыптастыру; рөлдер мен әрекеттер ж</w:t>
            </w:r>
            <w:r>
              <w:rPr>
                <w:color w:val="000000"/>
                <w:sz w:val="20"/>
                <w:szCs w:val="20"/>
              </w:rPr>
              <w:t>урналы; резервтеу; оқыту тексеріледі. Сәйкессіздіктер Жеткізушінің есебінен 5 жұмыс күнінен аспайтын мерзімде жойылады.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Ай сайынғы есептілік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Көрсетілген қызметтер актісіне мыналар қоса беріледі: жұмыс істеп тұрған объектілер мен жабдықтың тізбесі; қолжетімділік; өтініштер және оларды жою мерзімдері; профилактика, жөндеулер және ауыстырулар; жаңартулар; оқытулар; ақпараттық қауіпсіздік инцидентт</w:t>
            </w:r>
            <w:r>
              <w:rPr>
                <w:color w:val="000000"/>
                <w:sz w:val="20"/>
                <w:szCs w:val="20"/>
              </w:rPr>
              <w:t>ері; қолданыстағы лицензияларды растау.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Қызметті аяқтау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Жеткізуші деректерді, хаттамаларды, журналдар мен есептерді келісілген машинамен оқылатын форматта береді; шартта өзгеше белгіленбесе, кемінде 30 күнтізбелік күн өтпелі қолжетімділікті қамтамасыз етеді; келісілгеннен кейін өз жабдығын бөлшектеп, әкетеді; қ</w:t>
            </w:r>
            <w:r>
              <w:rPr>
                <w:color w:val="000000"/>
                <w:sz w:val="20"/>
                <w:szCs w:val="20"/>
              </w:rPr>
              <w:t>айтару және көшіру актілерін ресімдейді. Деректерді жою – тек Тапсырыс берушінің жазбаша растауынан кейін және медициналық құжаттаманы сақтау мерзімдерін ескере отырып.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  <w:tr w:rsidR="00C7677D">
        <w:trPr>
          <w:cantSplit/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Қосымша талаптар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Талаптарда тауар белгілері, өндіруші немесе шығарылған елі қамтылмаған. Мақсаты, үйлесімділігі және қауіпсіздігі сақталған жағдайда балама немесе одан жоғары сипаттамаларға жол беріледі. Жеткізуші осы ерекшелікті орындау үшін қажетті қосымша лицензияларды,</w:t>
            </w:r>
            <w:r>
              <w:rPr>
                <w:color w:val="000000"/>
                <w:sz w:val="20"/>
                <w:szCs w:val="20"/>
              </w:rPr>
              <w:t xml:space="preserve"> жабдықты немесе қызметтерді талап етуге құқылы емес. Барлық лицензиялар заңды және бүкіл кезең бойы қолданылады. Қолдау және құжаттар – орыс тілінде, қазақ тілі – Тапсырыс берушінің сұрауы бойынша.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C7677D" w:rsidRDefault="00393EF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Міндетті</w:t>
            </w:r>
          </w:p>
        </w:tc>
      </w:tr>
    </w:tbl>
    <w:p w:rsidR="00C7677D" w:rsidRDefault="00C7677D">
      <w:pPr>
        <w:pStyle w:val="normal"/>
        <w:spacing w:after="0"/>
        <w:rPr>
          <w:sz w:val="20"/>
          <w:szCs w:val="20"/>
        </w:rPr>
      </w:pPr>
    </w:p>
    <w:sectPr w:rsidR="00C7677D" w:rsidSect="00C7677D">
      <w:headerReference w:type="default" r:id="rId8"/>
      <w:footerReference w:type="default" r:id="rId9"/>
      <w:pgSz w:w="12240" w:h="15840"/>
      <w:pgMar w:top="850" w:right="850" w:bottom="850" w:left="850" w:header="397" w:footer="39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3EF9" w:rsidRDefault="00393EF9" w:rsidP="00C7677D">
      <w:pPr>
        <w:spacing w:after="0" w:line="240" w:lineRule="auto"/>
      </w:pPr>
      <w:r>
        <w:separator/>
      </w:r>
    </w:p>
  </w:endnote>
  <w:endnote w:type="continuationSeparator" w:id="1">
    <w:p w:rsidR="00393EF9" w:rsidRDefault="00393EF9" w:rsidP="00C76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421FD2A0-D992-487C-BEBA-09EF54B124A1}"/>
    <w:embedBold r:id="rId2" w:fontKey="{23D89388-E6B8-486A-A9EA-F95087A28A23}"/>
    <w:embedItalic r:id="rId3" w:fontKey="{DD5A7B86-87D4-44E6-A309-BA21AFCDADAD}"/>
    <w:embedBoldItalic r:id="rId4" w:fontKey="{BF128D11-9325-4379-BB53-3EA6ED5E6A2E}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5" w:fontKey="{A1623A34-C289-48F1-8918-0CB6809B08D9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77D" w:rsidRDefault="00393EF9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  <w:sz w:val="16"/>
        <w:szCs w:val="16"/>
      </w:rPr>
      <w:t xml:space="preserve">Бет </w:t>
    </w:r>
    <w:r w:rsidR="00C7677D"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 w:rsidR="00EB5770">
      <w:rPr>
        <w:color w:val="000000"/>
        <w:sz w:val="16"/>
        <w:szCs w:val="16"/>
      </w:rPr>
      <w:fldChar w:fldCharType="separate"/>
    </w:r>
    <w:r>
      <w:rPr>
        <w:noProof/>
        <w:color w:val="000000"/>
        <w:sz w:val="16"/>
        <w:szCs w:val="16"/>
      </w:rPr>
      <w:t>1</w:t>
    </w:r>
    <w:r w:rsidR="00C7677D">
      <w:rPr>
        <w:color w:val="000000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3EF9" w:rsidRDefault="00393EF9" w:rsidP="00C7677D">
      <w:pPr>
        <w:spacing w:after="0" w:line="240" w:lineRule="auto"/>
      </w:pPr>
      <w:r>
        <w:separator/>
      </w:r>
    </w:p>
  </w:footnote>
  <w:footnote w:type="continuationSeparator" w:id="1">
    <w:p w:rsidR="00393EF9" w:rsidRDefault="00393EF9" w:rsidP="00C767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77D" w:rsidRDefault="00393EF9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i/>
        <w:iCs/>
        <w:color w:val="646464"/>
        <w:sz w:val="16"/>
        <w:szCs w:val="16"/>
      </w:rPr>
      <w:t>Техникалық ерекшелік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776CDF"/>
    <w:multiLevelType w:val="multilevel"/>
    <w:tmpl w:val="EFA42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TrueTypeFonts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677D"/>
    <w:rsid w:val="00393EF9"/>
    <w:rsid w:val="00C7677D"/>
    <w:rsid w:val="00EB5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C7677D"/>
    <w:pPr>
      <w:keepNext/>
      <w:keepLines/>
      <w:spacing w:before="480" w:after="0"/>
      <w:outlineLvl w:val="0"/>
    </w:pPr>
    <w:rPr>
      <w:rFonts w:ascii="Calibri" w:eastAsia="Calibri" w:hAnsi="Calibri" w:cs="Calibri"/>
      <w:b/>
      <w:bCs/>
      <w:color w:val="366091"/>
      <w:sz w:val="28"/>
      <w:szCs w:val="28"/>
    </w:rPr>
  </w:style>
  <w:style w:type="paragraph" w:styleId="2">
    <w:name w:val="heading 2"/>
    <w:basedOn w:val="normal"/>
    <w:next w:val="normal"/>
    <w:rsid w:val="00C7677D"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3">
    <w:name w:val="heading 3"/>
    <w:basedOn w:val="normal"/>
    <w:next w:val="normal"/>
    <w:rsid w:val="00C7677D"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4">
    <w:name w:val="heading 4"/>
    <w:basedOn w:val="normal"/>
    <w:next w:val="normal"/>
    <w:rsid w:val="00C7677D"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5">
    <w:name w:val="heading 5"/>
    <w:basedOn w:val="normal"/>
    <w:next w:val="normal"/>
    <w:rsid w:val="00C7677D"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6">
    <w:name w:val="heading 6"/>
    <w:basedOn w:val="normal"/>
    <w:next w:val="normal"/>
    <w:rsid w:val="00C7677D"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paragraph" w:styleId="7">
    <w:name w:val="heading 7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rsid w:val="00C7677D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">
    <w:name w:val="normal"/>
    <w:rsid w:val="00C7677D"/>
  </w:style>
  <w:style w:type="paragraph" w:styleId="a3">
    <w:name w:val="Title"/>
    <w:basedOn w:val="normal"/>
    <w:next w:val="normal"/>
    <w:rsid w:val="00C7677D"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b/>
      <w:bCs/>
      <w:color w:val="17365D"/>
      <w:sz w:val="30"/>
      <w:szCs w:val="30"/>
    </w:rPr>
  </w:style>
  <w:style w:type="paragraph" w:styleId="a4">
    <w:name w:val="header"/>
    <w:link w:val="a5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618BF"/>
  </w:style>
  <w:style w:type="paragraph" w:styleId="a6">
    <w:name w:val="footer"/>
    <w:link w:val="a7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618BF"/>
  </w:style>
  <w:style w:type="paragraph" w:styleId="a8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0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9">
    <w:name w:val="Заголовок Знак"/>
    <w:basedOn w:val="a0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Подзаголовок Знак"/>
    <w:basedOn w:val="a0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b">
    <w:name w:val="List Paragraph"/>
    <w:uiPriority w:val="34"/>
    <w:qFormat/>
    <w:rsid w:val="00FC693F"/>
    <w:pPr>
      <w:ind w:left="720"/>
      <w:contextualSpacing/>
    </w:pPr>
  </w:style>
  <w:style w:type="paragraph" w:styleId="ac">
    <w:name w:val="Body Text"/>
    <w:link w:val="ad"/>
    <w:uiPriority w:val="99"/>
    <w:unhideWhenUsed/>
    <w:rsid w:val="00AA1D8D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AA1D8D"/>
  </w:style>
  <w:style w:type="paragraph" w:styleId="21">
    <w:name w:val="Body Text 2"/>
    <w:link w:val="22"/>
    <w:uiPriority w:val="99"/>
    <w:unhideWhenUsed/>
    <w:rsid w:val="00AA1D8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A1D8D"/>
  </w:style>
  <w:style w:type="paragraph" w:styleId="31">
    <w:name w:val="Body Text 3"/>
    <w:link w:val="32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AA1D8D"/>
    <w:rPr>
      <w:sz w:val="16"/>
      <w:szCs w:val="16"/>
    </w:rPr>
  </w:style>
  <w:style w:type="paragraph" w:styleId="ae">
    <w:name w:val="List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uiPriority w:val="99"/>
    <w:unhideWhenUsed/>
    <w:rsid w:val="00326F90"/>
    <w:pPr>
      <w:ind w:left="1080" w:hanging="360"/>
      <w:contextualSpacing/>
    </w:pPr>
  </w:style>
  <w:style w:type="paragraph" w:styleId="af">
    <w:name w:val="List Bullet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24">
    <w:name w:val="List Bullet 2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34">
    <w:name w:val="List Bullet 3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af0">
    <w:name w:val="List Number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25">
    <w:name w:val="List Number 2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35">
    <w:name w:val="List Number 3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af1">
    <w:name w:val="List Continue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uiPriority w:val="99"/>
    <w:unhideWhenUsed/>
    <w:rsid w:val="0029639D"/>
    <w:pPr>
      <w:spacing w:after="120"/>
      <w:ind w:left="1080"/>
      <w:contextualSpacing/>
    </w:pPr>
  </w:style>
  <w:style w:type="paragraph" w:styleId="af2">
    <w:name w:val="macro"/>
    <w:link w:val="af3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3">
    <w:name w:val="Текст макроса Знак"/>
    <w:basedOn w:val="a0"/>
    <w:link w:val="af2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0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0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4">
    <w:name w:val="captio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5">
    <w:name w:val="Strong"/>
    <w:basedOn w:val="a0"/>
    <w:uiPriority w:val="22"/>
    <w:qFormat/>
    <w:rsid w:val="00FC693F"/>
    <w:rPr>
      <w:b/>
      <w:bCs/>
    </w:rPr>
  </w:style>
  <w:style w:type="character" w:styleId="af6">
    <w:name w:val="Emphasis"/>
    <w:basedOn w:val="a0"/>
    <w:uiPriority w:val="20"/>
    <w:qFormat/>
    <w:rsid w:val="00FC693F"/>
    <w:rPr>
      <w:i/>
      <w:iCs/>
    </w:rPr>
  </w:style>
  <w:style w:type="paragraph" w:styleId="af7">
    <w:name w:val="Intense Quote"/>
    <w:link w:val="af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8">
    <w:name w:val="Выделенная цитата Знак"/>
    <w:basedOn w:val="a0"/>
    <w:link w:val="af7"/>
    <w:uiPriority w:val="30"/>
    <w:rsid w:val="00FC693F"/>
    <w:rPr>
      <w:b/>
      <w:bCs/>
      <w:i/>
      <w:iCs/>
      <w:color w:val="4F81BD" w:themeColor="accent1"/>
    </w:rPr>
  </w:style>
  <w:style w:type="character" w:styleId="af9">
    <w:name w:val="Subtle Emphasis"/>
    <w:basedOn w:val="a0"/>
    <w:uiPriority w:val="19"/>
    <w:qFormat/>
    <w:rsid w:val="00FC693F"/>
    <w:rPr>
      <w:i/>
      <w:iCs/>
      <w:color w:val="808080" w:themeColor="text1" w:themeTint="7F"/>
    </w:rPr>
  </w:style>
  <w:style w:type="character" w:styleId="afa">
    <w:name w:val="Intense Emphasis"/>
    <w:basedOn w:val="a0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0"/>
    <w:uiPriority w:val="31"/>
    <w:qFormat/>
    <w:rsid w:val="00FC693F"/>
    <w:rPr>
      <w:smallCaps/>
      <w:color w:val="C0504D" w:themeColor="accent2"/>
      <w:u w:val="single"/>
    </w:rPr>
  </w:style>
  <w:style w:type="character" w:styleId="afc">
    <w:name w:val="Intense Reference"/>
    <w:basedOn w:val="a0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d">
    <w:name w:val="Book Title"/>
    <w:basedOn w:val="a0"/>
    <w:uiPriority w:val="33"/>
    <w:qFormat/>
    <w:rsid w:val="00FC693F"/>
    <w:rPr>
      <w:b/>
      <w:bCs/>
      <w:smallCaps/>
      <w:spacing w:val="5"/>
    </w:rPr>
  </w:style>
  <w:style w:type="paragraph" w:styleId="afe">
    <w:name w:val="TOC Heading"/>
    <w:uiPriority w:val="39"/>
    <w:semiHidden/>
    <w:unhideWhenUsed/>
    <w:qFormat/>
    <w:rsid w:val="00FC693F"/>
  </w:style>
  <w:style w:type="table" w:styleId="aff">
    <w:name w:val="Table Grid"/>
    <w:basedOn w:val="a1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0">
    <w:name w:val="Light Shading"/>
    <w:basedOn w:val="a1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1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1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1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1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1">
    <w:name w:val="Light List"/>
    <w:basedOn w:val="a1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1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1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1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1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1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1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2">
    <w:name w:val="Light Grid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1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1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1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1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1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1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1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1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3">
    <w:name w:val="Dark List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1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4">
    <w:name w:val="Colorful Shading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1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5">
    <w:name w:val="Colorful List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1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6">
    <w:name w:val="Colorful Grid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1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ableText">
    <w:name w:val="TableText"/>
    <w:rsid w:val="00C7677D"/>
    <w:pPr>
      <w:spacing w:after="0" w:line="240" w:lineRule="auto"/>
    </w:pPr>
    <w:rPr>
      <w:sz w:val="18"/>
    </w:rPr>
  </w:style>
  <w:style w:type="paragraph" w:styleId="aff7">
    <w:name w:val="Revision"/>
    <w:hidden/>
    <w:uiPriority w:val="99"/>
    <w:semiHidden/>
    <w:rsid w:val="00F61736"/>
    <w:pPr>
      <w:spacing w:after="0" w:line="240" w:lineRule="auto"/>
    </w:pPr>
  </w:style>
  <w:style w:type="paragraph" w:styleId="aff8">
    <w:name w:val="Subtitle"/>
    <w:basedOn w:val="normal"/>
    <w:next w:val="normal"/>
    <w:rsid w:val="00C7677D"/>
    <w:rPr>
      <w:rFonts w:ascii="Calibri" w:eastAsia="Calibri" w:hAnsi="Calibri" w:cs="Calibri"/>
      <w:i/>
      <w:iCs/>
      <w:color w:val="4F81BD"/>
      <w:sz w:val="24"/>
      <w:szCs w:val="24"/>
    </w:rPr>
  </w:style>
  <w:style w:type="table" w:customStyle="1" w:styleId="aff9">
    <w:basedOn w:val="TableNormal"/>
    <w:rsid w:val="00C7677D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a">
    <w:basedOn w:val="TableNormal"/>
    <w:rsid w:val="00C7677D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CEoIZR4piIH5SnB78cG4dc6MUg==">CgMxLjA4AHIhMVV1RUdYeGVXU2RmQlNPcm1jV09KVTNheXJoeFdXU0tO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1968</Words>
  <Characters>11218</Characters>
  <Application>Microsoft Office Word</Application>
  <DocSecurity>0</DocSecurity>
  <Lines>93</Lines>
  <Paragraphs>26</Paragraphs>
  <ScaleCrop>false</ScaleCrop>
  <Company/>
  <LinksUpToDate>false</LinksUpToDate>
  <CharactersWithSpaces>13160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Тапсырыс беруші үшін дайындалды</dc:creator>
  <cp:lastModifiedBy>User</cp:lastModifiedBy>
  <cp:revision>2</cp:revision>
  <dcterms:created xsi:type="dcterms:W3CDTF">2026-10-27T07:38:00Z</dcterms:created>
  <dcterms:modified xsi:type="dcterms:W3CDTF">2026-10-27T07:38:00Z</dcterms:modified>
</cp:coreProperties>
</file>