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lang w:val="ru-RU" w:eastAsia="en-US" w:bidi="ar-SA"/>
        </w:rPr>
      </w:pPr>
      <w:r>
        <w:rPr>
          <w:b w:val="false"/>
          <w:bCs w:val="false"/>
          <w:lang w:val="ru-RU" w:eastAsia="en-US" w:bidi="ar-SA"/>
        </w:rPr>
        <w:t>Техническая спецификация на проведение диагностики системных блоков.</w:t>
      </w:r>
    </w:p>
    <w:p>
      <w:pPr>
        <w:pStyle w:val="Normal"/>
        <w:rPr>
          <w:lang w:val="ru-RU" w:eastAsia="en-US" w:bidi="ar-SA"/>
        </w:rPr>
      </w:pPr>
      <w:r>
        <w:rPr>
          <w:b w:val="false"/>
          <w:bCs w:val="false"/>
          <w:lang w:val="ru-RU" w:eastAsia="en-US" w:bidi="ar-SA"/>
        </w:rPr>
        <w:t xml:space="preserve">Адрес Заказчика: </w:t>
      </w:r>
      <w:r>
        <w:rPr>
          <w:b/>
          <w:bCs/>
          <w:lang w:val="ru-RU" w:eastAsia="en-US" w:bidi="ar-SA"/>
        </w:rPr>
        <w:t>Костанайская область, г. Рудный, ул. Марите, 84</w:t>
      </w:r>
      <w:r>
        <w:rPr>
          <w:b w:val="false"/>
          <w:bCs w:val="false"/>
          <w:lang w:val="ru-RU" w:eastAsia="en-US" w:bidi="ar-SA"/>
        </w:rPr>
        <w:t>.</w:t>
      </w:r>
    </w:p>
    <w:p>
      <w:pPr>
        <w:pStyle w:val="Normal"/>
        <w:spacing w:before="160" w:after="160"/>
        <w:rPr>
          <w:lang w:val="ru-RU" w:eastAsia="en-US" w:bidi="ar-SA"/>
        </w:rPr>
      </w:pPr>
      <w:r>
        <w:rPr>
          <w:b/>
          <w:bCs/>
          <w:lang w:val="ru-RU" w:eastAsia="en-US" w:bidi="ar-SA"/>
        </w:rPr>
        <w:t>Требования к поставщику:</w:t>
      </w:r>
    </w:p>
    <w:p>
      <w:pPr>
        <w:pStyle w:val="ListParagraph"/>
        <w:numPr>
          <w:ilvl w:val="0"/>
          <w:numId w:val="1"/>
        </w:numPr>
        <w:rPr>
          <w:lang w:val="ru-RU" w:eastAsia="en-US" w:bidi="ar-SA"/>
        </w:rPr>
      </w:pPr>
      <w:r>
        <w:rPr>
          <w:lang w:val="ru-RU" w:eastAsia="en-US" w:bidi="ar-SA"/>
        </w:rPr>
        <w:t xml:space="preserve">Поставщик прибывает по адресу Заказчика в рабочее время Заказчика. Рабочее время </w:t>
      </w: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ru-RU" w:eastAsia="en-US" w:bidi="ar-SA"/>
        </w:rPr>
        <w:t>Заказчика</w:t>
      </w:r>
      <w:r>
        <w:rPr>
          <w:lang w:val="ru-RU" w:eastAsia="en-US" w:bidi="ar-SA"/>
        </w:rPr>
        <w:t xml:space="preserve">: </w:t>
      </w:r>
      <w:r>
        <w:rPr>
          <w:b/>
          <w:bCs/>
          <w:lang w:val="ru-RU" w:eastAsia="en-US" w:bidi="ar-SA"/>
        </w:rPr>
        <w:t>понедельник-пятница с 9.00 до 13.00 и с 14.00 до 18.00, кроме официальных праздничных дней</w:t>
      </w:r>
      <w:r>
        <w:rPr>
          <w:lang w:val="ru-RU" w:eastAsia="en-US" w:bidi="ar-SA"/>
        </w:rPr>
        <w:t>;</w:t>
      </w:r>
    </w:p>
    <w:p>
      <w:pPr>
        <w:pStyle w:val="ListParagraph"/>
        <w:numPr>
          <w:ilvl w:val="0"/>
          <w:numId w:val="1"/>
        </w:numPr>
        <w:rPr>
          <w:lang w:val="ru-RU" w:eastAsia="en-US" w:bidi="ar-SA"/>
        </w:rPr>
      </w:pPr>
      <w:r>
        <w:rPr>
          <w:rFonts w:cs="Calibri" w:cstheme="minorHAnsi"/>
          <w:lang w:val="ru-RU" w:eastAsia="en-US" w:bidi="ar-SA"/>
        </w:rPr>
        <w:t>Поставщик прибывает по адресу Заказчика и принимает от Заказчика системные блоки для проведения диагностики с целью выявления причин неисправности;</w:t>
      </w:r>
    </w:p>
    <w:p>
      <w:pPr>
        <w:pStyle w:val="ListParagraph"/>
        <w:numPr>
          <w:ilvl w:val="0"/>
          <w:numId w:val="1"/>
        </w:numPr>
        <w:rPr>
          <w:lang w:val="ru-RU" w:eastAsia="en-US" w:bidi="ar-SA"/>
        </w:rPr>
      </w:pPr>
      <w:r>
        <w:rPr>
          <w:rFonts w:cs="Calibri" w:cstheme="minorHAnsi"/>
          <w:lang w:val="ru-RU" w:eastAsia="en-US" w:bidi="ar-SA"/>
        </w:rPr>
        <w:t>Поставщик выполняет комплекс работ по диагностике системных блоков, направленный на определение технического состояния оборудования и выявление дефектов;</w:t>
      </w:r>
    </w:p>
    <w:p>
      <w:pPr>
        <w:pStyle w:val="ListParagraph"/>
        <w:numPr>
          <w:ilvl w:val="0"/>
          <w:numId w:val="1"/>
        </w:numPr>
        <w:rPr>
          <w:lang w:val="ru-RU" w:eastAsia="en-US" w:bidi="ar-SA"/>
        </w:rPr>
      </w:pPr>
      <w:r>
        <w:rPr>
          <w:rFonts w:cs="Calibri" w:cstheme="minorHAnsi"/>
          <w:lang w:val="ru-RU" w:eastAsia="en-US" w:bidi="ar-SA"/>
        </w:rPr>
        <w:t>По результатам диагностики Поставщик составляет дефектный акт с указанием выявленных неисправностей, причин их возникновения, а также перечня необходимых работ и комплектующих для восстановления работоспособности;</w:t>
      </w:r>
    </w:p>
    <w:p>
      <w:pPr>
        <w:pStyle w:val="ListParagraph"/>
        <w:numPr>
          <w:ilvl w:val="0"/>
          <w:numId w:val="1"/>
        </w:numPr>
        <w:rPr>
          <w:lang w:val="ru-RU" w:eastAsia="en-US" w:bidi="ar-SA"/>
        </w:rPr>
      </w:pPr>
      <w:r>
        <w:rPr>
          <w:rFonts w:cs="Calibri" w:cstheme="minorHAnsi"/>
          <w:lang w:val="ru-RU" w:eastAsia="en-US" w:bidi="ar-SA"/>
        </w:rPr>
        <w:t>Поставщик прибывает по адресу Заказчика и возвращает Заказчику системные блоки и  результаты их диагностики;</w:t>
      </w:r>
    </w:p>
    <w:p>
      <w:pPr>
        <w:pStyle w:val="ListParagraph"/>
        <w:numPr>
          <w:ilvl w:val="0"/>
          <w:numId w:val="1"/>
        </w:numPr>
        <w:rPr>
          <w:lang w:val="ru-RU" w:eastAsia="en-US" w:bidi="ar-SA"/>
        </w:rPr>
      </w:pPr>
      <w:r>
        <w:rPr>
          <w:rFonts w:cs="Calibri" w:cstheme="minorHAnsi"/>
          <w:lang w:val="ru-RU" w:eastAsia="en-US" w:bidi="ar-SA"/>
        </w:rPr>
        <w:t>Поставщик обязуется не производить замену, изъятие или установку комплектующих системных блоков и вернуть оборудование в полной комплектации, соответствующей переданной на диагностику, с учетом естественного разборa/сборa, необходимого для проведения диагностики;</w:t>
      </w:r>
    </w:p>
    <w:p>
      <w:pPr>
        <w:pStyle w:val="ListParagraph"/>
        <w:numPr>
          <w:ilvl w:val="0"/>
          <w:numId w:val="1"/>
        </w:numPr>
        <w:rPr>
          <w:lang w:val="ru-RU" w:eastAsia="en-US" w:bidi="ar-SA"/>
        </w:rPr>
      </w:pPr>
      <w:r>
        <w:rPr>
          <w:rFonts w:cs="Calibri" w:cstheme="minorHAnsi"/>
          <w:lang w:val="ru-RU" w:eastAsia="en-US" w:bidi="ar-SA"/>
        </w:rPr>
        <w:t>Диагностика осуществляется с использованием оборудования, инструментов и расходных материалов Поставщика и за его счет.</w:t>
      </w:r>
    </w:p>
    <w:p>
      <w:pPr>
        <w:pStyle w:val="Normal"/>
        <w:spacing w:before="160" w:after="160"/>
        <w:rPr>
          <w:lang w:val="ru-RU" w:eastAsia="en-US" w:bidi="ar-SA"/>
        </w:rPr>
      </w:pPr>
      <w:r>
        <w:rPr>
          <w:b/>
          <w:bCs/>
          <w:lang w:val="ru-RU" w:eastAsia="en-US" w:bidi="ar-SA"/>
        </w:rPr>
        <w:t>Системные блоки, подлежащие диагностике:</w:t>
      </w:r>
    </w:p>
    <w:p>
      <w:pPr>
        <w:pStyle w:val="ListParagraph"/>
        <w:numPr>
          <w:ilvl w:val="0"/>
          <w:numId w:val="1"/>
        </w:numPr>
        <w:spacing w:lineRule="auto" w:line="252"/>
        <w:rPr>
          <w:lang w:val="ru-RU" w:eastAsia="en-US" w:bidi="ar-SA"/>
        </w:rPr>
      </w:pPr>
      <w:r>
        <w:rPr>
          <w:b w:val="false"/>
          <w:bCs w:val="false"/>
          <w:lang w:val="ru-RU" w:eastAsia="en-US" w:bidi="ar-SA"/>
        </w:rPr>
        <w:t>инвентарный номер: 236006000</w:t>
      </w:r>
      <w:r>
        <w:rPr>
          <w:b w:val="false"/>
          <w:bCs w:val="false"/>
          <w:lang w:val="ru-RU" w:eastAsia="en-US" w:bidi="ar-SA"/>
        </w:rPr>
        <w:t>216</w:t>
      </w:r>
      <w:r>
        <w:rPr>
          <w:b w:val="false"/>
          <w:bCs w:val="false"/>
          <w:lang w:val="ru-RU" w:eastAsia="en-US" w:bidi="ar-SA"/>
        </w:rPr>
        <w:t>;</w:t>
      </w:r>
    </w:p>
    <w:p>
      <w:pPr>
        <w:pStyle w:val="ListParagraph"/>
        <w:numPr>
          <w:ilvl w:val="0"/>
          <w:numId w:val="1"/>
        </w:numPr>
        <w:spacing w:lineRule="auto" w:line="252"/>
        <w:rPr>
          <w:lang w:val="ru-RU" w:eastAsia="en-US" w:bidi="ar-SA"/>
        </w:rPr>
      </w:pPr>
      <w:r>
        <w:rPr>
          <w:b w:val="false"/>
          <w:bCs w:val="false"/>
          <w:lang w:val="ru-RU" w:eastAsia="en-US" w:bidi="ar-SA"/>
        </w:rPr>
        <w:t>инвентарный номер: 236006000276.</w:t>
      </w:r>
    </w:p>
    <w:p>
      <w:pPr>
        <w:pStyle w:val="Normal"/>
        <w:spacing w:before="160" w:after="160"/>
        <w:rPr>
          <w:b/>
          <w:bCs/>
        </w:rPr>
      </w:pPr>
      <w:r>
        <w:rPr>
          <w:b/>
          <w:bCs/>
        </w:rPr>
      </w:r>
      <w:r>
        <w:br w:type="page"/>
      </w:r>
    </w:p>
    <w:p>
      <w:pPr>
        <w:pStyle w:val="ListParagraph"/>
        <w:numPr>
          <w:ilvl w:val="0"/>
          <w:numId w:val="0"/>
        </w:numPr>
        <w:spacing w:lineRule="auto" w:line="252" w:before="0" w:after="159"/>
        <w:ind w:hanging="0" w:left="0"/>
        <w:contextualSpacing w:val="false"/>
        <w:rPr>
          <w:lang w:val="kk-KZ" w:eastAsia="en-US" w:bidi="ar-SA"/>
        </w:rPr>
      </w:pPr>
      <w:r>
        <w:rPr>
          <w:b w:val="false"/>
          <w:bCs w:val="false"/>
          <w:lang w:val="kk-KZ" w:eastAsia="en-US" w:bidi="ar-SA"/>
        </w:rPr>
        <w:t>Системдік блоктарға диагностика жүргізуге арналған техникалық ерекшелік.</w:t>
      </w:r>
    </w:p>
    <w:p>
      <w:pPr>
        <w:pStyle w:val="ListParagraph"/>
        <w:numPr>
          <w:ilvl w:val="0"/>
          <w:numId w:val="0"/>
        </w:numPr>
        <w:spacing w:lineRule="auto" w:line="252" w:before="0" w:after="159"/>
        <w:ind w:hanging="0" w:left="0"/>
        <w:contextualSpacing w:val="false"/>
        <w:rPr>
          <w:lang w:val="kk-KZ" w:eastAsia="en-US" w:bidi="ar-SA"/>
        </w:rPr>
      </w:pPr>
      <w:r>
        <w:rPr>
          <w:b w:val="false"/>
          <w:bCs w:val="false"/>
          <w:lang w:val="kk-KZ" w:eastAsia="en-US" w:bidi="ar-SA"/>
        </w:rPr>
        <w:t xml:space="preserve">Тапсырыс берушінің мекенжайы: </w:t>
      </w:r>
      <w:r>
        <w:rPr>
          <w:b/>
          <w:bCs/>
          <w:lang w:val="kk-KZ" w:eastAsia="en-US" w:bidi="ar-SA"/>
        </w:rPr>
        <w:t>Қостанай облысы, Рудный қ., Марите к-сі, 30</w:t>
      </w:r>
      <w:r>
        <w:rPr>
          <w:b w:val="false"/>
          <w:bCs w:val="false"/>
          <w:lang w:val="kk-KZ" w:eastAsia="en-US" w:bidi="ar-SA"/>
        </w:rPr>
        <w:t>.</w:t>
      </w:r>
    </w:p>
    <w:p>
      <w:pPr>
        <w:pStyle w:val="ListParagraph"/>
        <w:numPr>
          <w:ilvl w:val="0"/>
          <w:numId w:val="0"/>
        </w:numPr>
        <w:spacing w:lineRule="auto" w:line="252" w:before="0" w:after="159"/>
        <w:ind w:hanging="0" w:left="0"/>
        <w:contextualSpacing w:val="false"/>
        <w:rPr>
          <w:lang w:val="kk-KZ" w:eastAsia="en-US" w:bidi="ar-SA"/>
        </w:rPr>
      </w:pPr>
      <w:r>
        <w:rPr>
          <w:b/>
          <w:bCs/>
          <w:lang w:val="kk-KZ" w:eastAsia="en-US" w:bidi="ar-SA"/>
        </w:rPr>
        <w:t>Жеткізушіге қойылатын талаптар:</w:t>
      </w:r>
    </w:p>
    <w:p>
      <w:pPr>
        <w:pStyle w:val="ListParagraph"/>
        <w:numPr>
          <w:ilvl w:val="0"/>
          <w:numId w:val="2"/>
        </w:numPr>
        <w:spacing w:lineRule="auto" w:line="252"/>
        <w:rPr>
          <w:lang w:val="kk-KZ" w:eastAsia="en-US" w:bidi="ar-SA"/>
        </w:rPr>
      </w:pPr>
      <w:r>
        <w:rPr>
          <w:b w:val="false"/>
          <w:bCs w:val="false"/>
          <w:lang w:val="kk-KZ" w:eastAsia="en-US" w:bidi="ar-SA"/>
        </w:rPr>
        <w:t xml:space="preserve">Жеткізуші Тапсырыс берушінің жұмыс уақытында көрсетілген мекенжайға келуі тиіс. Тапсырыс берушінің жұмыс уақыты: </w:t>
      </w:r>
      <w:r>
        <w:rPr>
          <w:b/>
          <w:bCs/>
          <w:lang w:val="kk-KZ" w:eastAsia="en-US" w:bidi="ar-SA"/>
        </w:rPr>
        <w:t>дүйсенбі-жұма күндері сағат 9:00–13:00 және 14:00–18:00 аралығы, ресми мереке күндерінен басқа</w:t>
      </w:r>
      <w:r>
        <w:rPr>
          <w:b w:val="false"/>
          <w:bCs w:val="false"/>
          <w:lang w:val="kk-KZ" w:eastAsia="en-US" w:bidi="ar-SA"/>
        </w:rPr>
        <w:t>;</w:t>
      </w:r>
    </w:p>
    <w:p>
      <w:pPr>
        <w:pStyle w:val="ListParagraph"/>
        <w:numPr>
          <w:ilvl w:val="0"/>
          <w:numId w:val="2"/>
        </w:numPr>
        <w:spacing w:lineRule="auto" w:line="252"/>
        <w:rPr>
          <w:lang w:val="kk-KZ" w:eastAsia="en-US" w:bidi="ar-SA"/>
        </w:rPr>
      </w:pPr>
      <w:r>
        <w:rPr>
          <w:b w:val="false"/>
          <w:bCs w:val="false"/>
          <w:lang w:val="kk-KZ" w:eastAsia="en-US" w:bidi="ar-SA"/>
        </w:rPr>
        <w:t>Өнім беруші Тапсырыс берушінің мекенжайына келеді және ақаулардың себептерін анықтау мақсатында диагностика жүргізу үшін Тапсырыс берушіден системдік блоктарды қабылдап алады;</w:t>
      </w:r>
    </w:p>
    <w:p>
      <w:pPr>
        <w:pStyle w:val="ListParagraph"/>
        <w:numPr>
          <w:ilvl w:val="0"/>
          <w:numId w:val="2"/>
        </w:numPr>
        <w:spacing w:lineRule="auto" w:line="252"/>
        <w:rPr>
          <w:lang w:val="kk-KZ" w:eastAsia="en-US" w:bidi="ar-SA"/>
        </w:rPr>
      </w:pPr>
      <w:r>
        <w:rPr>
          <w:b w:val="false"/>
          <w:bCs w:val="false"/>
          <w:lang w:val="kk-KZ" w:eastAsia="en-US" w:bidi="ar-SA"/>
        </w:rPr>
        <w:t>Өнім беруші жабдықтың техникалық күйін анықтауға және ақауларды табуға бағытталған системдік блоктарға диагностика жүргізу бойынша жұмыстар кешенін орындайды;</w:t>
      </w:r>
    </w:p>
    <w:p>
      <w:pPr>
        <w:pStyle w:val="ListParagraph"/>
        <w:numPr>
          <w:ilvl w:val="0"/>
          <w:numId w:val="2"/>
        </w:numPr>
        <w:spacing w:lineRule="auto" w:line="252"/>
        <w:rPr>
          <w:lang w:val="kk-KZ" w:eastAsia="en-US" w:bidi="ar-SA"/>
        </w:rPr>
      </w:pPr>
      <w:r>
        <w:rPr>
          <w:b w:val="false"/>
          <w:bCs w:val="false"/>
          <w:lang w:val="kk-KZ" w:eastAsia="en-US" w:bidi="ar-SA"/>
        </w:rPr>
        <w:t>Диагностика нәтижелері бойынша Өнім беруші анықталған ақауларды, олардың пайда болу себептерін, сондай-ақ жұмысқа қабілеттілікті қалпына келтіру үшін қажетті жұмыстар мен жиынтықтауыштардың тізбесін көрсете отырып, ақаулық актісін жасайды;</w:t>
      </w:r>
    </w:p>
    <w:p>
      <w:pPr>
        <w:pStyle w:val="ListParagraph"/>
        <w:numPr>
          <w:ilvl w:val="0"/>
          <w:numId w:val="2"/>
        </w:numPr>
        <w:spacing w:lineRule="auto" w:line="252"/>
        <w:rPr>
          <w:lang w:val="kk-KZ" w:eastAsia="en-US" w:bidi="ar-SA"/>
        </w:rPr>
      </w:pPr>
      <w:r>
        <w:rPr>
          <w:b w:val="false"/>
          <w:bCs w:val="false"/>
          <w:lang w:val="kk-KZ" w:eastAsia="en-US" w:bidi="ar-SA"/>
        </w:rPr>
        <w:t>Өнім беруші Тапсырыс берушінің мекенжайына келеді және Тапсырыс берушіге системдік блоктарды және олардың диагностика нәтижелерін қайтарады;</w:t>
      </w:r>
    </w:p>
    <w:p>
      <w:pPr>
        <w:pStyle w:val="ListParagraph"/>
        <w:numPr>
          <w:ilvl w:val="0"/>
          <w:numId w:val="2"/>
        </w:numPr>
        <w:spacing w:lineRule="auto" w:line="252"/>
        <w:rPr>
          <w:lang w:val="kk-KZ" w:eastAsia="en-US" w:bidi="ar-SA"/>
        </w:rPr>
      </w:pPr>
      <w:r>
        <w:rPr>
          <w:b w:val="false"/>
          <w:bCs w:val="false"/>
          <w:lang w:val="kk-KZ" w:eastAsia="en-US" w:bidi="ar-SA"/>
        </w:rPr>
        <w:t>Өнім беруші системдік блоктардың жиынтықтауыштарын ауыстырмауға, алып тастамауға немесе орнатпауға және жабдықты диагностика жүргізу үшін қажетті табиғи бөлшектеуді/жинауды ескере отырып, диагностикаға берілген толық жиынтықта қайтаруға міндеттенеді;</w:t>
      </w:r>
    </w:p>
    <w:p>
      <w:pPr>
        <w:pStyle w:val="ListParagraph"/>
        <w:numPr>
          <w:ilvl w:val="0"/>
          <w:numId w:val="2"/>
        </w:numPr>
        <w:spacing w:lineRule="auto" w:line="252"/>
        <w:rPr>
          <w:lang w:val="kk-KZ" w:eastAsia="en-US" w:bidi="ar-SA"/>
        </w:rPr>
      </w:pPr>
      <w:r>
        <w:rPr>
          <w:b w:val="false"/>
          <w:bCs w:val="false"/>
          <w:lang w:val="kk-KZ" w:eastAsia="en-US" w:bidi="ar-SA"/>
        </w:rPr>
        <w:t>Диагностика Өнім берушінің жабдықтарын, құралдарын және шығыс материалдарын пайдалана отырып және оның есебінен жүзеге асырылады.</w:t>
      </w:r>
    </w:p>
    <w:p>
      <w:pPr>
        <w:pStyle w:val="Normal"/>
        <w:spacing w:before="160" w:after="160"/>
        <w:rPr>
          <w:lang w:val="kk-KZ" w:eastAsia="en-US" w:bidi="ar-SA"/>
        </w:rPr>
      </w:pPr>
      <w:r>
        <w:rPr>
          <w:b/>
          <w:bCs/>
          <w:lang w:val="kk-KZ" w:eastAsia="en-US" w:bidi="ar-SA"/>
        </w:rPr>
        <w:t>Диагностикаға жататын системдік блоктар:</w:t>
      </w:r>
    </w:p>
    <w:p>
      <w:pPr>
        <w:pStyle w:val="ListParagraph"/>
        <w:numPr>
          <w:ilvl w:val="0"/>
          <w:numId w:val="1"/>
        </w:numPr>
        <w:spacing w:lineRule="auto" w:line="252"/>
        <w:rPr>
          <w:lang w:val="kk-KZ" w:eastAsia="en-US" w:bidi="ar-SA"/>
        </w:rPr>
      </w:pPr>
      <w:r>
        <w:rPr>
          <w:b w:val="false"/>
          <w:bCs w:val="false"/>
          <w:lang w:val="kk-KZ" w:eastAsia="en-US" w:bidi="ar-SA"/>
        </w:rPr>
        <w:t xml:space="preserve">инвентарлық нөмірі: </w:t>
      </w:r>
      <w:r>
        <w:rPr>
          <w:b w:val="false"/>
          <w:bCs w:val="false"/>
          <w:lang w:val="ru-RU" w:eastAsia="en-US" w:bidi="ar-SA"/>
        </w:rPr>
        <w:t>236006000</w:t>
      </w:r>
      <w:r>
        <w:rPr>
          <w:b w:val="false"/>
          <w:bCs w:val="false"/>
          <w:lang w:val="ru-RU" w:eastAsia="en-US" w:bidi="ar-SA"/>
        </w:rPr>
        <w:t>216</w:t>
      </w:r>
      <w:r>
        <w:rPr>
          <w:b w:val="false"/>
          <w:bCs w:val="false"/>
          <w:lang w:val="kk-KZ" w:eastAsia="en-US" w:bidi="ar-SA"/>
        </w:rPr>
        <w:t>;</w:t>
      </w:r>
    </w:p>
    <w:p>
      <w:pPr>
        <w:pStyle w:val="ListParagraph"/>
        <w:numPr>
          <w:ilvl w:val="0"/>
          <w:numId w:val="1"/>
        </w:numPr>
        <w:spacing w:lineRule="auto" w:line="252"/>
        <w:rPr>
          <w:lang w:val="kk-KZ" w:eastAsia="en-US" w:bidi="ar-SA"/>
        </w:rPr>
      </w:pPr>
      <w:r>
        <w:rPr>
          <w:b w:val="false"/>
          <w:bCs w:val="false"/>
          <w:lang w:val="kk-KZ" w:eastAsia="en-US" w:bidi="ar-SA"/>
        </w:rPr>
        <w:t xml:space="preserve">инвентарлық нөмірі: </w:t>
      </w:r>
      <w:r>
        <w:rPr>
          <w:b w:val="false"/>
          <w:bCs w:val="false"/>
          <w:lang w:val="ru-RU" w:eastAsia="en-US" w:bidi="ar-SA"/>
        </w:rPr>
        <w:t>236006000276</w:t>
      </w:r>
      <w:r>
        <w:rPr>
          <w:b w:val="false"/>
          <w:bCs w:val="false"/>
          <w:lang w:val="kk-KZ" w:eastAsia="en-US" w:bidi="ar-SA"/>
        </w:rPr>
        <w:t>.</w:t>
      </w:r>
    </w:p>
    <w:p>
      <w:pPr>
        <w:pStyle w:val="Normal"/>
        <w:numPr>
          <w:ilvl w:val="0"/>
          <w:numId w:val="0"/>
        </w:numPr>
        <w:spacing w:lineRule="auto" w:line="252" w:before="0" w:after="160"/>
        <w:ind w:hanging="0" w:left="0"/>
        <w:contextualSpacing/>
        <w:rPr>
          <w:lang w:val="kk-KZ" w:eastAsia="en-US" w:bidi="ar-SA"/>
        </w:rPr>
      </w:pPr>
      <w:r>
        <w:rPr>
          <w:lang w:val="kk-KZ" w:eastAsia="en-US" w:bidi="ar-SA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swiss"/>
    <w:pitch w:val="default"/>
  </w:font>
  <w:font w:name="Liberation Serif">
    <w:altName w:val="Times New Roman"/>
    <w:charset w:val="01"/>
    <w:family w:val="swiss"/>
    <w:pitch w:val="default"/>
  </w:font>
  <w:font w:name="OpenSymbol">
    <w:altName w:val="Arial Unicode MS"/>
    <w:charset w:val="01"/>
    <w:family w:val="swiss"/>
    <w:pitch w:val="default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e4631"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3">
    <w:name w:val="Heading 3"/>
    <w:basedOn w:val="Style14"/>
    <w:next w:val="BodyText"/>
    <w:qFormat/>
    <w:p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character" w:styleId="Style13">
    <w:name w:val="Маркеры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Calibri" w:hAnsi="Calibri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Calibri" w:hAnsi="Calibri"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ascii="Calibri" w:hAnsi="Calibri" w:cs="Lohit Devanagari"/>
    </w:rPr>
  </w:style>
  <w:style w:type="paragraph" w:styleId="ListParagraph">
    <w:name w:val="List Paragraph"/>
    <w:basedOn w:val="Normal"/>
    <w:uiPriority w:val="34"/>
    <w:qFormat/>
    <w:rsid w:val="00084ce4"/>
    <w:pPr>
      <w:spacing w:before="0" w:after="160"/>
      <w:ind w:hanging="0" w:left="720"/>
      <w:contextualSpacing/>
    </w:pPr>
    <w:rPr/>
  </w:style>
  <w:style w:type="paragraph" w:styleId="Style16">
    <w:name w:val="Содержимое таблицы"/>
    <w:basedOn w:val="Normal"/>
    <w:qFormat/>
    <w:pPr>
      <w:widowControl w:val="false"/>
      <w:suppressLineNumbers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  <w:style w:type="numbering" w:styleId="Style18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254e4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Application>LibreOffice/24.2.7.2$Linux_X86_64 LibreOffice_project/420$Build-2</Application>
  <AppVersion>15.0000</AppVersion>
  <Pages>2</Pages>
  <Words>368</Words>
  <Characters>2724</Characters>
  <CharactersWithSpaces>3047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2021-12-27T05:17:00Z</dcterms:created>
  <dc:creator>z</dc:creator>
  <dc:description/>
  <dc:language>ru-RU</dc:language>
  <cp:lastModifiedBy/>
  <dcterms:modified xsi:type="dcterms:W3CDTF">2026-10-14T12:50:19Z</dcterms:modified>
  <cp:revision>296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