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6352B5">
      <w:pPr>
        <w:jc w:val="right"/>
        <w:rPr>
          <w:rFonts w:ascii="Times New Roman" w:hAnsi="Times New Roman" w:cs="Times New Roman"/>
          <w:b/>
          <w:sz w:val="24"/>
          <w:szCs w:val="24"/>
          <w:lang w:val="kk-KZ"/>
        </w:rPr>
      </w:pPr>
      <w:r>
        <w:rPr>
          <w:rFonts w:ascii="Times New Roman" w:hAnsi="Times New Roman" w:cs="Times New Roman"/>
          <w:b/>
          <w:sz w:val="24"/>
          <w:szCs w:val="24"/>
          <w:lang w:val="kk-KZ"/>
        </w:rPr>
        <w:t xml:space="preserve">                                                                                                  Приложение 2</w:t>
      </w:r>
    </w:p>
    <w:p w14:paraId="005B27C9">
      <w:pPr>
        <w:jc w:val="center"/>
        <w:rPr>
          <w:rFonts w:ascii="Times New Roman" w:hAnsi="Times New Roman" w:cs="Times New Roman"/>
          <w:b/>
          <w:sz w:val="24"/>
          <w:szCs w:val="24"/>
        </w:rPr>
      </w:pPr>
      <w:r>
        <w:rPr>
          <w:rFonts w:ascii="Times New Roman" w:hAnsi="Times New Roman" w:cs="Times New Roman"/>
          <w:b/>
          <w:sz w:val="24"/>
          <w:szCs w:val="24"/>
        </w:rPr>
        <w:t>Стол однотумбовый</w:t>
      </w:r>
      <w:r>
        <w:rPr>
          <w:rFonts w:ascii="Times New Roman" w:hAnsi="Times New Roman" w:cs="Times New Roman"/>
          <w:b/>
          <w:sz w:val="24"/>
          <w:szCs w:val="24"/>
        </w:rPr>
        <w:tab/>
      </w:r>
    </w:p>
    <w:p w14:paraId="4D69FB1B">
      <w:pPr>
        <w:jc w:val="both"/>
        <w:rPr>
          <w:sz w:val="24"/>
          <w:szCs w:val="24"/>
        </w:rPr>
      </w:pPr>
      <w:r>
        <w:rPr>
          <w:sz w:val="24"/>
          <w:szCs w:val="24"/>
        </w:rPr>
        <w:drawing>
          <wp:inline distT="0" distB="0" distL="0" distR="0">
            <wp:extent cx="6096000" cy="3822065"/>
            <wp:effectExtent l="0" t="0" r="0"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6111336" cy="3831680"/>
                    </a:xfrm>
                    <a:prstGeom prst="rect">
                      <a:avLst/>
                    </a:prstGeom>
                    <a:noFill/>
                    <a:ln>
                      <a:noFill/>
                    </a:ln>
                  </pic:spPr>
                </pic:pic>
              </a:graphicData>
            </a:graphic>
          </wp:inline>
        </w:drawing>
      </w:r>
    </w:p>
    <w:p w14:paraId="1333A7EC">
      <w:pPr>
        <w:jc w:val="center"/>
        <w:rPr>
          <w:rFonts w:ascii="Times New Roman" w:hAnsi="Times New Roman" w:cs="Times New Roman"/>
          <w:b/>
          <w:sz w:val="24"/>
          <w:szCs w:val="24"/>
        </w:rPr>
      </w:pPr>
      <w:r>
        <w:rPr>
          <w:rFonts w:ascii="Times New Roman" w:hAnsi="Times New Roman" w:cs="Times New Roman"/>
          <w:b/>
          <w:sz w:val="24"/>
          <w:szCs w:val="24"/>
        </w:rPr>
        <w:t>Техническое описание</w:t>
      </w:r>
    </w:p>
    <w:tbl>
      <w:tblPr>
        <w:tblStyle w:val="6"/>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6523"/>
        <w:gridCol w:w="1276"/>
        <w:gridCol w:w="1134"/>
      </w:tblGrid>
      <w:tr w14:paraId="741B8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73" w:type="dxa"/>
            <w:tcBorders>
              <w:top w:val="single" w:color="auto" w:sz="4" w:space="0"/>
              <w:left w:val="single" w:color="auto" w:sz="4" w:space="0"/>
              <w:bottom w:val="single" w:color="auto" w:sz="4" w:space="0"/>
              <w:right w:val="single" w:color="auto" w:sz="4" w:space="0"/>
            </w:tcBorders>
            <w:vAlign w:val="center"/>
          </w:tcPr>
          <w:p w14:paraId="1C41299B">
            <w:pPr>
              <w:pStyle w:val="7"/>
              <w:jc w:val="center"/>
              <w:rPr>
                <w:rFonts w:ascii="Times New Roman" w:hAnsi="Times New Roman" w:cs="Times New Roman"/>
                <w:b/>
                <w:sz w:val="24"/>
                <w:szCs w:val="24"/>
                <w:lang w:val="kk-KZ"/>
              </w:rPr>
            </w:pPr>
            <w:r>
              <w:rPr>
                <w:rFonts w:ascii="Times New Roman" w:hAnsi="Times New Roman" w:cs="Times New Roman"/>
                <w:b/>
                <w:sz w:val="24"/>
                <w:szCs w:val="24"/>
                <w:lang w:val="kk-KZ"/>
              </w:rPr>
              <w:t>№</w:t>
            </w:r>
          </w:p>
        </w:tc>
        <w:tc>
          <w:tcPr>
            <w:tcW w:w="6523" w:type="dxa"/>
            <w:tcBorders>
              <w:top w:val="single" w:color="auto" w:sz="4" w:space="0"/>
              <w:left w:val="single" w:color="auto" w:sz="4" w:space="0"/>
              <w:bottom w:val="single" w:color="auto" w:sz="4" w:space="0"/>
              <w:right w:val="single" w:color="auto" w:sz="4" w:space="0"/>
            </w:tcBorders>
            <w:vAlign w:val="center"/>
          </w:tcPr>
          <w:p w14:paraId="45A6B46F">
            <w:pPr>
              <w:pStyle w:val="7"/>
              <w:jc w:val="center"/>
              <w:rPr>
                <w:rFonts w:ascii="Times New Roman" w:hAnsi="Times New Roman" w:cs="Times New Roman"/>
                <w:b/>
                <w:sz w:val="24"/>
                <w:szCs w:val="24"/>
                <w:lang w:val="kk-KZ"/>
              </w:rPr>
            </w:pPr>
            <w:r>
              <w:rPr>
                <w:rFonts w:ascii="Times New Roman" w:hAnsi="Times New Roman" w:cs="Times New Roman"/>
                <w:b/>
                <w:sz w:val="24"/>
                <w:szCs w:val="24"/>
                <w:lang w:val="kk-KZ"/>
              </w:rPr>
              <w:t>Наименование товаров</w:t>
            </w:r>
          </w:p>
        </w:tc>
        <w:tc>
          <w:tcPr>
            <w:tcW w:w="1276" w:type="dxa"/>
            <w:tcBorders>
              <w:top w:val="single" w:color="auto" w:sz="4" w:space="0"/>
              <w:left w:val="single" w:color="auto" w:sz="4" w:space="0"/>
              <w:bottom w:val="single" w:color="auto" w:sz="4" w:space="0"/>
              <w:right w:val="single" w:color="auto" w:sz="4" w:space="0"/>
            </w:tcBorders>
            <w:vAlign w:val="center"/>
          </w:tcPr>
          <w:p w14:paraId="5698C42C">
            <w:pPr>
              <w:pStyle w:val="7"/>
              <w:jc w:val="center"/>
              <w:rPr>
                <w:rFonts w:ascii="Times New Roman" w:hAnsi="Times New Roman" w:cs="Times New Roman"/>
                <w:b/>
                <w:sz w:val="24"/>
                <w:szCs w:val="24"/>
                <w:lang w:val="kk-KZ"/>
              </w:rPr>
            </w:pPr>
            <w:r>
              <w:rPr>
                <w:rFonts w:ascii="Times New Roman" w:hAnsi="Times New Roman" w:cs="Times New Roman"/>
                <w:b/>
                <w:sz w:val="24"/>
                <w:szCs w:val="24"/>
                <w:lang w:val="kk-KZ"/>
              </w:rPr>
              <w:t>Ед.изм.</w:t>
            </w:r>
          </w:p>
        </w:tc>
        <w:tc>
          <w:tcPr>
            <w:tcW w:w="1134" w:type="dxa"/>
            <w:tcBorders>
              <w:top w:val="single" w:color="auto" w:sz="4" w:space="0"/>
              <w:left w:val="single" w:color="auto" w:sz="4" w:space="0"/>
              <w:bottom w:val="single" w:color="auto" w:sz="4" w:space="0"/>
              <w:right w:val="single" w:color="auto" w:sz="4" w:space="0"/>
            </w:tcBorders>
            <w:vAlign w:val="center"/>
          </w:tcPr>
          <w:p w14:paraId="0E9E274D">
            <w:pPr>
              <w:pStyle w:val="7"/>
              <w:jc w:val="center"/>
              <w:rPr>
                <w:rFonts w:ascii="Times New Roman" w:hAnsi="Times New Roman" w:cs="Times New Roman"/>
                <w:b/>
                <w:sz w:val="24"/>
                <w:szCs w:val="24"/>
                <w:lang w:val="kk-KZ"/>
              </w:rPr>
            </w:pPr>
            <w:r>
              <w:rPr>
                <w:rFonts w:ascii="Times New Roman" w:hAnsi="Times New Roman" w:cs="Times New Roman"/>
                <w:b/>
                <w:sz w:val="24"/>
                <w:szCs w:val="24"/>
                <w:lang w:val="kk-KZ"/>
              </w:rPr>
              <w:t>Кол-во</w:t>
            </w:r>
          </w:p>
        </w:tc>
      </w:tr>
      <w:tr w14:paraId="53BA1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673" w:type="dxa"/>
            <w:tcBorders>
              <w:top w:val="single" w:color="auto" w:sz="4" w:space="0"/>
              <w:left w:val="single" w:color="auto" w:sz="4" w:space="0"/>
              <w:bottom w:val="single" w:color="auto" w:sz="4" w:space="0"/>
              <w:right w:val="single" w:color="auto" w:sz="4" w:space="0"/>
            </w:tcBorders>
          </w:tcPr>
          <w:p w14:paraId="28F02BAA">
            <w:pPr>
              <w:jc w:val="center"/>
              <w:rPr>
                <w:rFonts w:ascii="Times New Roman" w:hAnsi="Times New Roman" w:cs="Times New Roman"/>
                <w:b/>
                <w:sz w:val="28"/>
                <w:szCs w:val="28"/>
                <w:lang w:val="kk-KZ"/>
              </w:rPr>
            </w:pPr>
            <w:r>
              <w:rPr>
                <w:rFonts w:ascii="Times New Roman" w:hAnsi="Times New Roman" w:cs="Times New Roman"/>
                <w:b/>
                <w:sz w:val="28"/>
                <w:szCs w:val="28"/>
                <w:lang w:val="kk-KZ"/>
              </w:rPr>
              <w:t>1</w:t>
            </w:r>
          </w:p>
        </w:tc>
        <w:tc>
          <w:tcPr>
            <w:tcW w:w="6523" w:type="dxa"/>
            <w:tcBorders>
              <w:top w:val="single" w:color="auto" w:sz="4" w:space="0"/>
              <w:left w:val="single" w:color="auto" w:sz="4" w:space="0"/>
              <w:bottom w:val="single" w:color="auto" w:sz="4" w:space="0"/>
              <w:right w:val="single" w:color="auto" w:sz="4" w:space="0"/>
            </w:tcBorders>
          </w:tcPr>
          <w:p w14:paraId="1C305D9E">
            <w:pPr>
              <w:pStyle w:val="7"/>
              <w:rPr>
                <w:rFonts w:ascii="Times New Roman" w:hAnsi="Times New Roman" w:cs="Times New Roman"/>
                <w:sz w:val="24"/>
                <w:szCs w:val="24"/>
              </w:rPr>
            </w:pPr>
            <w:r>
              <w:rPr>
                <w:rFonts w:ascii="Times New Roman" w:hAnsi="Times New Roman" w:cs="Times New Roman"/>
                <w:sz w:val="24"/>
                <w:szCs w:val="24"/>
              </w:rPr>
              <w:t>1. Корпус изготовлен из высококачественной ламинированной ДСП, толщиной не менее 16 мм, на основе термореактивных полимеров, класс эмиссии формальдегида Е-1 сорт.</w:t>
            </w:r>
          </w:p>
          <w:p w14:paraId="0C57F1AA">
            <w:pPr>
              <w:pStyle w:val="7"/>
              <w:rPr>
                <w:rFonts w:ascii="Times New Roman" w:hAnsi="Times New Roman" w:cs="Times New Roman"/>
                <w:sz w:val="24"/>
                <w:szCs w:val="24"/>
              </w:rPr>
            </w:pPr>
            <w:r>
              <w:rPr>
                <w:rFonts w:ascii="Times New Roman" w:hAnsi="Times New Roman" w:cs="Times New Roman"/>
                <w:sz w:val="24"/>
                <w:szCs w:val="24"/>
              </w:rPr>
              <w:t>2. Все детали ЛДСП обработаны высококачественной кромкой ПВХ, толщиной от 1 мм до 2 мм.</w:t>
            </w:r>
          </w:p>
          <w:p w14:paraId="0A6E4992">
            <w:pPr>
              <w:pStyle w:val="7"/>
              <w:rPr>
                <w:rFonts w:ascii="Times New Roman" w:hAnsi="Times New Roman" w:cs="Times New Roman"/>
                <w:sz w:val="24"/>
                <w:szCs w:val="24"/>
              </w:rPr>
            </w:pPr>
            <w:r>
              <w:rPr>
                <w:rFonts w:ascii="Times New Roman" w:hAnsi="Times New Roman" w:cs="Times New Roman"/>
                <w:sz w:val="24"/>
                <w:szCs w:val="24"/>
              </w:rPr>
              <w:t>3. Все лицевые, фронтальные детали изготовлены из высококачественной древесноволокнистой плиты средней плотности (МДФ), толщиной не менее 16 мм.</w:t>
            </w:r>
          </w:p>
          <w:p w14:paraId="5CF74F62">
            <w:pPr>
              <w:pStyle w:val="7"/>
              <w:rPr>
                <w:rFonts w:ascii="Times New Roman" w:hAnsi="Times New Roman" w:cs="Times New Roman"/>
                <w:sz w:val="24"/>
                <w:szCs w:val="24"/>
              </w:rPr>
            </w:pPr>
            <w:r>
              <w:rPr>
                <w:rFonts w:ascii="Times New Roman" w:hAnsi="Times New Roman" w:cs="Times New Roman"/>
                <w:sz w:val="24"/>
                <w:szCs w:val="24"/>
              </w:rPr>
              <w:t>4. Все детали из МДФ покрыты высококачественной пленкой ПВХ (поливинилхлорид), толщиной не менее 0,8мм.</w:t>
            </w:r>
          </w:p>
          <w:p w14:paraId="0C1F8D62">
            <w:pPr>
              <w:pStyle w:val="7"/>
              <w:rPr>
                <w:rFonts w:hint="default" w:ascii="Times New Roman" w:hAnsi="Times New Roman" w:cs="Times New Roman"/>
                <w:b w:val="0"/>
                <w:bCs w:val="0"/>
                <w:sz w:val="24"/>
                <w:szCs w:val="24"/>
                <w:highlight w:val="none"/>
              </w:rPr>
            </w:pPr>
            <w:r>
              <w:rPr>
                <w:highlight w:val="none"/>
              </w:rPr>
              <w:t xml:space="preserve"> </w:t>
            </w:r>
            <w:r>
              <w:rPr>
                <w:rFonts w:hint="default" w:ascii="Times New Roman" w:hAnsi="Times New Roman" w:cs="Times New Roman"/>
                <w:b w:val="0"/>
                <w:bCs w:val="0"/>
                <w:sz w:val="24"/>
                <w:szCs w:val="24"/>
                <w:highlight w:val="none"/>
              </w:rPr>
              <w:t>Форма столешницы: прямоугольная.</w:t>
            </w:r>
            <w:r>
              <w:rPr>
                <w:rFonts w:hint="default" w:ascii="Times New Roman" w:hAnsi="Times New Roman" w:eastAsia="Segoe UI" w:cs="Times New Roman"/>
                <w:b w:val="0"/>
                <w:bCs w:val="0"/>
                <w:i w:val="0"/>
                <w:iCs w:val="0"/>
                <w:caps w:val="0"/>
                <w:color w:val="6B6B81"/>
                <w:spacing w:val="0"/>
                <w:kern w:val="0"/>
                <w:sz w:val="24"/>
                <w:szCs w:val="24"/>
                <w:highlight w:val="none"/>
                <w:lang w:val="kk-KZ" w:eastAsia="zh-CN" w:bidi="ar"/>
              </w:rPr>
              <w:t>К</w:t>
            </w:r>
            <w:r>
              <w:rPr>
                <w:rFonts w:hint="default" w:ascii="Times New Roman" w:hAnsi="Times New Roman" w:eastAsia="Segoe UI" w:cs="Times New Roman"/>
                <w:b w:val="0"/>
                <w:bCs w:val="0"/>
                <w:i w:val="0"/>
                <w:iCs w:val="0"/>
                <w:caps w:val="0"/>
                <w:color w:val="6B6B81"/>
                <w:spacing w:val="0"/>
                <w:kern w:val="0"/>
                <w:sz w:val="24"/>
                <w:szCs w:val="24"/>
                <w:highlight w:val="none"/>
                <w:lang w:val="en-US" w:eastAsia="zh-CN" w:bidi="ar"/>
              </w:rPr>
              <w:t>оличество выдвижных ящиков</w:t>
            </w:r>
            <w:r>
              <w:rPr>
                <w:rFonts w:hint="default" w:ascii="Times New Roman" w:hAnsi="Times New Roman" w:eastAsia="Segoe UI" w:cs="Times New Roman"/>
                <w:b w:val="0"/>
                <w:bCs w:val="0"/>
                <w:i w:val="0"/>
                <w:iCs w:val="0"/>
                <w:caps w:val="0"/>
                <w:color w:val="6B6B81"/>
                <w:spacing w:val="0"/>
                <w:kern w:val="0"/>
                <w:sz w:val="24"/>
                <w:szCs w:val="24"/>
                <w:highlight w:val="none"/>
                <w:lang w:val="kk-KZ" w:eastAsia="zh-CN" w:bidi="ar"/>
              </w:rPr>
              <w:t xml:space="preserve"> 1 шт,п</w:t>
            </w:r>
            <w:r>
              <w:rPr>
                <w:rFonts w:hint="default" w:ascii="Times New Roman" w:hAnsi="Times New Roman" w:eastAsia="Segoe UI" w:cs="Times New Roman"/>
                <w:b w:val="0"/>
                <w:bCs w:val="0"/>
                <w:i w:val="0"/>
                <w:iCs w:val="0"/>
                <w:caps w:val="0"/>
                <w:color w:val="01011B"/>
                <w:spacing w:val="0"/>
                <w:sz w:val="24"/>
                <w:szCs w:val="24"/>
                <w:highlight w:val="none"/>
                <w:shd w:val="clear" w:fill="FFFFFF"/>
              </w:rPr>
              <w:t>од столешницей с правой стороны располагается тумба с дверцей в которой имеются полки, на верхней части тумбы есть ящик, направляющие на ящиках телескопические.Торцы облицованы ударопрочной кромкой ПВХ толщиной 2 мм.</w:t>
            </w:r>
          </w:p>
          <w:p w14:paraId="4E6C5C54">
            <w:pPr>
              <w:pStyle w:val="7"/>
              <w:rPr>
                <w:rFonts w:ascii="Times New Roman" w:hAnsi="Times New Roman" w:cs="Times New Roman"/>
                <w:sz w:val="24"/>
                <w:szCs w:val="24"/>
              </w:rPr>
            </w:pPr>
            <w:r>
              <w:rPr>
                <w:rFonts w:ascii="Times New Roman" w:hAnsi="Times New Roman" w:cs="Times New Roman"/>
                <w:sz w:val="24"/>
                <w:szCs w:val="24"/>
              </w:rPr>
              <w:t>5. Вся используемая фурнитура, стяжки (минификсы, конфирматы, шурупы, винты), навесы, выдвижные механизмы от ведущих производителей, имеют гарантию качества.</w:t>
            </w:r>
          </w:p>
          <w:p w14:paraId="4B93B88E">
            <w:pPr>
              <w:pStyle w:val="7"/>
              <w:rPr>
                <w:rFonts w:hint="default" w:ascii="Calibri" w:hAnsi="Calibri" w:cs="Times New Roman"/>
                <w:sz w:val="20"/>
                <w:szCs w:val="20"/>
                <w:lang w:val="ru-RU"/>
              </w:rPr>
            </w:pPr>
            <w:r>
              <w:rPr>
                <w:rFonts w:ascii="Times New Roman" w:hAnsi="Times New Roman" w:cs="Times New Roman"/>
                <w:sz w:val="24"/>
                <w:szCs w:val="24"/>
              </w:rPr>
              <w:t xml:space="preserve">6. Цвет </w:t>
            </w:r>
            <w:r>
              <w:rPr>
                <w:rFonts w:hint="default" w:ascii="Calibri" w:hAnsi="Calibri" w:cs="Times New Roman"/>
                <w:sz w:val="20"/>
                <w:szCs w:val="20"/>
                <w:lang w:val="ru-RU"/>
              </w:rPr>
              <w:t>(</w:t>
            </w:r>
            <w:r>
              <w:rPr>
                <w:rFonts w:hint="default" w:ascii="Times New Roman" w:hAnsi="Times New Roman" w:cs="Times New Roman"/>
                <w:sz w:val="20"/>
                <w:szCs w:val="20"/>
                <w:lang w:val="ru-RU"/>
              </w:rPr>
              <w:t>серый</w:t>
            </w:r>
            <w:r>
              <w:rPr>
                <w:rFonts w:hint="default" w:ascii="Calibri" w:hAnsi="Calibri" w:cs="Times New Roman"/>
                <w:sz w:val="20"/>
                <w:szCs w:val="20"/>
                <w:lang w:val="ru-RU"/>
              </w:rPr>
              <w:t>)</w:t>
            </w:r>
            <w:r>
              <w:rPr>
                <w:rFonts w:hint="default" w:ascii="Calibri" w:hAnsi="Calibri" w:cs="Times New Roman"/>
                <w:sz w:val="20"/>
                <w:szCs w:val="20"/>
                <w:lang w:val="kk-KZ"/>
              </w:rPr>
              <w:t xml:space="preserve"> </w:t>
            </w:r>
            <w:r>
              <w:rPr>
                <w:rFonts w:ascii="Times New Roman" w:hAnsi="Times New Roman" w:cs="Times New Roman"/>
                <w:sz w:val="24"/>
                <w:szCs w:val="24"/>
              </w:rPr>
              <w:t>– по согласованию с Заказчиком</w:t>
            </w:r>
            <w:r>
              <w:rPr>
                <w:rFonts w:ascii="Calibri" w:hAnsi="Calibri" w:cs="Times New Roman"/>
                <w:sz w:val="20"/>
                <w:szCs w:val="20"/>
              </w:rPr>
              <w:t xml:space="preserve">  </w:t>
            </w:r>
          </w:p>
          <w:p w14:paraId="4B450A7B">
            <w:pPr>
              <w:pStyle w:val="7"/>
              <w:rPr>
                <w:rFonts w:hint="default" w:ascii="Calibri" w:hAnsi="Calibri" w:cs="Times New Roman"/>
                <w:sz w:val="20"/>
                <w:szCs w:val="20"/>
                <w:lang w:val="ru-RU"/>
              </w:rPr>
            </w:pPr>
          </w:p>
          <w:p w14:paraId="6DE57260">
            <w:pPr>
              <w:pStyle w:val="7"/>
              <w:jc w:val="both"/>
              <w:rPr>
                <w:rFonts w:ascii="Times New Roman" w:hAnsi="Times New Roman" w:cs="Times New Roman"/>
                <w:sz w:val="24"/>
                <w:szCs w:val="24"/>
              </w:rPr>
            </w:pPr>
            <w:r>
              <w:rPr>
                <w:rFonts w:ascii="Times New Roman" w:hAnsi="Times New Roman" w:cs="Times New Roman"/>
                <w:b/>
                <w:sz w:val="24"/>
                <w:szCs w:val="24"/>
              </w:rPr>
              <w:t>Требование к поставщику:</w:t>
            </w:r>
            <w:r>
              <w:rPr>
                <w:rFonts w:ascii="Times New Roman" w:hAnsi="Times New Roman" w:cs="Times New Roman"/>
                <w:sz w:val="24"/>
                <w:szCs w:val="24"/>
              </w:rPr>
              <w:t xml:space="preserve"> Поставщик должен гарантировать качество Товара в течение гарантийного срока, установленного в течение 12 месяцев со дня подписания акта приема, передачи к поставленному товару. Разгрузка товара на склад Заказчика, за счет сил и средств поставщика. Передача товара поставщиком или его законным представителем. </w:t>
            </w:r>
          </w:p>
        </w:tc>
        <w:tc>
          <w:tcPr>
            <w:tcW w:w="1276" w:type="dxa"/>
            <w:tcBorders>
              <w:top w:val="single" w:color="auto" w:sz="4" w:space="0"/>
              <w:left w:val="single" w:color="auto" w:sz="4" w:space="0"/>
              <w:bottom w:val="single" w:color="auto" w:sz="4" w:space="0"/>
              <w:right w:val="single" w:color="auto" w:sz="4" w:space="0"/>
            </w:tcBorders>
          </w:tcPr>
          <w:p w14:paraId="5AAB5900">
            <w:pPr>
              <w:jc w:val="center"/>
              <w:rPr>
                <w:rFonts w:ascii="Times New Roman" w:hAnsi="Times New Roman" w:cs="Times New Roman"/>
                <w:sz w:val="28"/>
                <w:szCs w:val="28"/>
              </w:rPr>
            </w:pPr>
            <w:r>
              <w:rPr>
                <w:rFonts w:ascii="Times New Roman" w:hAnsi="Times New Roman" w:cs="Times New Roman"/>
                <w:sz w:val="28"/>
                <w:szCs w:val="28"/>
              </w:rPr>
              <w:t>шт.</w:t>
            </w:r>
          </w:p>
        </w:tc>
        <w:tc>
          <w:tcPr>
            <w:tcW w:w="1134" w:type="dxa"/>
            <w:tcBorders>
              <w:top w:val="single" w:color="auto" w:sz="4" w:space="0"/>
              <w:left w:val="single" w:color="auto" w:sz="4" w:space="0"/>
              <w:bottom w:val="single" w:color="auto" w:sz="4" w:space="0"/>
              <w:right w:val="single" w:color="auto" w:sz="4" w:space="0"/>
            </w:tcBorders>
          </w:tcPr>
          <w:p w14:paraId="09AD581C">
            <w:pPr>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60</w:t>
            </w:r>
          </w:p>
        </w:tc>
      </w:tr>
    </w:tbl>
    <w:p w14:paraId="7C1F6B6B">
      <w:pPr>
        <w:jc w:val="right"/>
        <w:rPr>
          <w:rFonts w:ascii="Times New Roman" w:hAnsi="Times New Roman" w:cs="Times New Roman"/>
          <w:b/>
          <w:sz w:val="24"/>
          <w:szCs w:val="24"/>
          <w:lang w:val="kk-KZ"/>
        </w:rPr>
      </w:pPr>
    </w:p>
    <w:p w14:paraId="6E562E95">
      <w:pPr>
        <w:keepNext w:val="0"/>
        <w:keepLines w:val="0"/>
        <w:widowControl/>
        <w:suppressLineNumbers w:val="0"/>
        <w:spacing w:before="0" w:beforeAutospacing="0" w:after="200" w:afterAutospacing="0" w:line="276" w:lineRule="auto"/>
        <w:ind w:left="0" w:right="0"/>
        <w:jc w:val="left"/>
        <w:rPr>
          <w:rFonts w:hint="default" w:ascii="Times New Roman" w:hAnsi="Times New Roman" w:eastAsia="Calibri" w:cs="Times New Roman"/>
          <w:kern w:val="0"/>
          <w:sz w:val="24"/>
          <w:szCs w:val="24"/>
          <w:lang w:val="ru" w:eastAsia="zh-CN" w:bidi="ar"/>
        </w:rPr>
      </w:pPr>
      <w:r>
        <w:rPr>
          <w:rFonts w:hint="default" w:ascii="Times New Roman" w:hAnsi="Times New Roman" w:eastAsia="Helvetica" w:cs="Times New Roman"/>
          <w:b/>
          <w:bCs/>
          <w:i w:val="0"/>
          <w:iCs w:val="0"/>
          <w:caps w:val="0"/>
          <w:color w:val="212529"/>
          <w:spacing w:val="0"/>
          <w:kern w:val="0"/>
          <w:sz w:val="24"/>
          <w:szCs w:val="24"/>
          <w:shd w:val="clear" w:fill="FFFFFF"/>
          <w:lang w:val="en-US" w:eastAsia="zh-CN" w:bidi="ar"/>
        </w:rPr>
        <w:t xml:space="preserve">Срок поставки </w:t>
      </w:r>
      <w:r>
        <w:rPr>
          <w:rFonts w:hint="default" w:ascii="Times New Roman" w:hAnsi="Times New Roman" w:eastAsia="Calibri" w:cs="Times New Roman"/>
          <w:kern w:val="0"/>
          <w:sz w:val="24"/>
          <w:szCs w:val="24"/>
          <w:lang w:val="ru" w:eastAsia="zh-CN" w:bidi="ar"/>
        </w:rPr>
        <w:t>С момента вступления в силу договора в течений 25 календарных дней,в случае нахождения поставщика в Реестре казахстанских товаропроизводителей, срок поставки в течение 60 календарных дней</w:t>
      </w:r>
    </w:p>
    <w:p w14:paraId="462FA45B">
      <w:pPr>
        <w:keepNext w:val="0"/>
        <w:keepLines w:val="0"/>
        <w:widowControl/>
        <w:suppressLineNumbers w:val="0"/>
        <w:spacing w:before="0" w:beforeAutospacing="0" w:after="200" w:afterAutospacing="0" w:line="276" w:lineRule="auto"/>
        <w:ind w:left="0" w:right="0"/>
        <w:jc w:val="left"/>
        <w:rPr>
          <w:rFonts w:hint="default" w:ascii="Times New Roman" w:hAnsi="Times New Roman" w:eastAsia="Calibri" w:cs="Times New Roman"/>
          <w:kern w:val="0"/>
          <w:sz w:val="24"/>
          <w:szCs w:val="24"/>
          <w:lang w:val="kk-KZ" w:eastAsia="zh-CN" w:bidi="ar"/>
        </w:rPr>
      </w:pPr>
      <w:r>
        <w:rPr>
          <w:rFonts w:hint="default" w:ascii="Times New Roman" w:hAnsi="Times New Roman" w:eastAsia="Calibri" w:cs="Times New Roman"/>
          <w:b/>
          <w:bCs/>
          <w:kern w:val="0"/>
          <w:sz w:val="24"/>
          <w:szCs w:val="24"/>
          <w:lang w:val="kk-KZ" w:eastAsia="zh-CN" w:bidi="ar"/>
        </w:rPr>
        <w:t>Адрес</w:t>
      </w:r>
      <w:r>
        <w:rPr>
          <w:rFonts w:hint="default" w:ascii="Times New Roman" w:hAnsi="Times New Roman" w:eastAsia="Calibri" w:cs="Times New Roman"/>
          <w:kern w:val="0"/>
          <w:sz w:val="24"/>
          <w:szCs w:val="24"/>
          <w:lang w:val="kk-KZ" w:eastAsia="zh-CN" w:bidi="ar"/>
        </w:rPr>
        <w:t xml:space="preserve">  г.Туркестан  ул.Абая №159</w:t>
      </w:r>
    </w:p>
    <w:p w14:paraId="3DEE9EBA">
      <w:pPr>
        <w:jc w:val="right"/>
        <w:rPr>
          <w:rFonts w:ascii="Times New Roman" w:hAnsi="Times New Roman" w:cs="Times New Roman"/>
          <w:b/>
          <w:sz w:val="24"/>
          <w:szCs w:val="24"/>
          <w:lang w:val="kk-KZ"/>
        </w:rPr>
      </w:pPr>
    </w:p>
    <w:p w14:paraId="6E1431C7">
      <w:pPr>
        <w:jc w:val="right"/>
        <w:rPr>
          <w:rFonts w:ascii="Times New Roman" w:hAnsi="Times New Roman" w:cs="Times New Roman"/>
          <w:b/>
          <w:sz w:val="24"/>
          <w:szCs w:val="24"/>
          <w:lang w:val="kk-KZ"/>
        </w:rPr>
      </w:pPr>
    </w:p>
    <w:p w14:paraId="65D16183">
      <w:pPr>
        <w:jc w:val="right"/>
        <w:rPr>
          <w:rFonts w:ascii="Times New Roman" w:hAnsi="Times New Roman" w:cs="Times New Roman"/>
          <w:b/>
          <w:sz w:val="24"/>
          <w:szCs w:val="24"/>
          <w:lang w:val="kk-KZ"/>
        </w:rPr>
      </w:pPr>
    </w:p>
    <w:p w14:paraId="1050B5CA">
      <w:pPr>
        <w:jc w:val="right"/>
        <w:rPr>
          <w:rFonts w:ascii="Times New Roman" w:hAnsi="Times New Roman" w:cs="Times New Roman"/>
          <w:b/>
          <w:sz w:val="24"/>
          <w:szCs w:val="24"/>
          <w:lang w:val="kk-KZ"/>
        </w:rPr>
      </w:pPr>
    </w:p>
    <w:p w14:paraId="4F5ED82B">
      <w:pPr>
        <w:jc w:val="right"/>
        <w:rPr>
          <w:rFonts w:ascii="Times New Roman" w:hAnsi="Times New Roman" w:cs="Times New Roman"/>
          <w:b/>
          <w:sz w:val="24"/>
          <w:szCs w:val="24"/>
          <w:lang w:val="kk-KZ"/>
        </w:rPr>
      </w:pPr>
    </w:p>
    <w:p w14:paraId="417F9E13">
      <w:pPr>
        <w:jc w:val="right"/>
        <w:rPr>
          <w:rFonts w:ascii="Times New Roman" w:hAnsi="Times New Roman" w:cs="Times New Roman"/>
          <w:b/>
          <w:sz w:val="24"/>
          <w:szCs w:val="24"/>
          <w:lang w:val="kk-KZ"/>
        </w:rPr>
      </w:pPr>
    </w:p>
    <w:p w14:paraId="53B88B04">
      <w:pPr>
        <w:jc w:val="right"/>
        <w:rPr>
          <w:rFonts w:ascii="Times New Roman" w:hAnsi="Times New Roman" w:cs="Times New Roman"/>
          <w:b/>
          <w:sz w:val="24"/>
          <w:szCs w:val="24"/>
          <w:lang w:val="kk-KZ"/>
        </w:rPr>
      </w:pPr>
    </w:p>
    <w:p w14:paraId="035E5FC4">
      <w:pPr>
        <w:jc w:val="right"/>
        <w:rPr>
          <w:rFonts w:ascii="Times New Roman" w:hAnsi="Times New Roman" w:cs="Times New Roman"/>
          <w:b/>
          <w:sz w:val="24"/>
          <w:szCs w:val="24"/>
          <w:lang w:val="kk-KZ"/>
        </w:rPr>
      </w:pPr>
    </w:p>
    <w:p w14:paraId="7F2D7B74">
      <w:pPr>
        <w:jc w:val="right"/>
        <w:rPr>
          <w:rFonts w:ascii="Times New Roman" w:hAnsi="Times New Roman" w:cs="Times New Roman"/>
          <w:b/>
          <w:sz w:val="24"/>
          <w:szCs w:val="24"/>
          <w:lang w:val="kk-KZ"/>
        </w:rPr>
      </w:pPr>
    </w:p>
    <w:p w14:paraId="0C19712F">
      <w:pPr>
        <w:jc w:val="right"/>
        <w:rPr>
          <w:rFonts w:ascii="Times New Roman" w:hAnsi="Times New Roman" w:cs="Times New Roman"/>
          <w:b/>
          <w:sz w:val="24"/>
          <w:szCs w:val="24"/>
          <w:lang w:val="kk-KZ"/>
        </w:rPr>
      </w:pPr>
    </w:p>
    <w:p w14:paraId="53E5D9D2">
      <w:pPr>
        <w:jc w:val="right"/>
        <w:rPr>
          <w:rFonts w:ascii="Times New Roman" w:hAnsi="Times New Roman" w:cs="Times New Roman"/>
          <w:b/>
          <w:sz w:val="24"/>
          <w:szCs w:val="24"/>
          <w:lang w:val="kk-KZ"/>
        </w:rPr>
      </w:pPr>
    </w:p>
    <w:p w14:paraId="7A7A1179">
      <w:pPr>
        <w:jc w:val="right"/>
        <w:rPr>
          <w:rFonts w:ascii="Times New Roman" w:hAnsi="Times New Roman" w:cs="Times New Roman"/>
          <w:b/>
          <w:sz w:val="24"/>
          <w:szCs w:val="24"/>
          <w:lang w:val="kk-KZ"/>
        </w:rPr>
      </w:pPr>
    </w:p>
    <w:p w14:paraId="466098EF">
      <w:pPr>
        <w:jc w:val="right"/>
        <w:rPr>
          <w:rFonts w:ascii="Times New Roman" w:hAnsi="Times New Roman" w:cs="Times New Roman"/>
          <w:b/>
          <w:sz w:val="24"/>
          <w:szCs w:val="24"/>
          <w:lang w:val="kk-KZ"/>
        </w:rPr>
      </w:pPr>
    </w:p>
    <w:p w14:paraId="693B86A0">
      <w:pPr>
        <w:jc w:val="right"/>
        <w:rPr>
          <w:rFonts w:ascii="Times New Roman" w:hAnsi="Times New Roman" w:cs="Times New Roman"/>
          <w:b/>
          <w:sz w:val="24"/>
          <w:szCs w:val="24"/>
          <w:lang w:val="kk-KZ"/>
        </w:rPr>
      </w:pPr>
    </w:p>
    <w:p w14:paraId="3E0EC92D">
      <w:pPr>
        <w:jc w:val="right"/>
        <w:rPr>
          <w:rFonts w:ascii="Times New Roman" w:hAnsi="Times New Roman" w:cs="Times New Roman"/>
          <w:b/>
          <w:sz w:val="24"/>
          <w:szCs w:val="24"/>
          <w:lang w:val="kk-KZ"/>
        </w:rPr>
      </w:pPr>
    </w:p>
    <w:p w14:paraId="706CC928">
      <w:pPr>
        <w:jc w:val="right"/>
        <w:rPr>
          <w:rFonts w:ascii="Times New Roman" w:hAnsi="Times New Roman" w:cs="Times New Roman"/>
          <w:b/>
          <w:sz w:val="24"/>
          <w:szCs w:val="24"/>
          <w:lang w:val="kk-KZ"/>
        </w:rPr>
      </w:pPr>
    </w:p>
    <w:p w14:paraId="70F0FDB7">
      <w:pPr>
        <w:jc w:val="right"/>
        <w:rPr>
          <w:rFonts w:ascii="Times New Roman" w:hAnsi="Times New Roman" w:cs="Times New Roman"/>
          <w:b/>
          <w:sz w:val="24"/>
          <w:szCs w:val="24"/>
          <w:lang w:val="kk-KZ"/>
        </w:rPr>
      </w:pPr>
    </w:p>
    <w:p w14:paraId="5455753D">
      <w:pPr>
        <w:jc w:val="right"/>
        <w:rPr>
          <w:rFonts w:ascii="Times New Roman" w:hAnsi="Times New Roman" w:cs="Times New Roman"/>
          <w:b/>
          <w:sz w:val="24"/>
          <w:szCs w:val="24"/>
          <w:lang w:val="kk-KZ"/>
        </w:rPr>
      </w:pPr>
    </w:p>
    <w:p w14:paraId="74602494">
      <w:pPr>
        <w:jc w:val="right"/>
        <w:rPr>
          <w:rFonts w:ascii="Times New Roman" w:hAnsi="Times New Roman" w:cs="Times New Roman"/>
          <w:b/>
          <w:sz w:val="24"/>
          <w:szCs w:val="24"/>
          <w:lang w:val="kk-KZ"/>
        </w:rPr>
      </w:pPr>
    </w:p>
    <w:p w14:paraId="1B6C3651">
      <w:pPr>
        <w:jc w:val="right"/>
        <w:rPr>
          <w:rFonts w:ascii="Times New Roman" w:hAnsi="Times New Roman" w:cs="Times New Roman"/>
          <w:b/>
          <w:sz w:val="24"/>
          <w:szCs w:val="24"/>
          <w:lang w:val="kk-KZ"/>
        </w:rPr>
      </w:pPr>
    </w:p>
    <w:p w14:paraId="7E782954">
      <w:pPr>
        <w:jc w:val="right"/>
        <w:rPr>
          <w:rFonts w:ascii="Times New Roman" w:hAnsi="Times New Roman" w:cs="Times New Roman"/>
          <w:b/>
          <w:sz w:val="24"/>
          <w:szCs w:val="24"/>
          <w:lang w:val="kk-KZ"/>
        </w:rPr>
      </w:pPr>
    </w:p>
    <w:p w14:paraId="72D40D0E">
      <w:pPr>
        <w:jc w:val="right"/>
        <w:rPr>
          <w:rFonts w:ascii="Times New Roman" w:hAnsi="Times New Roman" w:cs="Times New Roman"/>
          <w:b/>
          <w:sz w:val="24"/>
          <w:szCs w:val="24"/>
          <w:lang w:val="kk-KZ"/>
        </w:rPr>
      </w:pPr>
    </w:p>
    <w:p w14:paraId="1616087C">
      <w:pPr>
        <w:jc w:val="right"/>
        <w:rPr>
          <w:rFonts w:ascii="Times New Roman" w:hAnsi="Times New Roman" w:cs="Times New Roman"/>
          <w:b/>
          <w:sz w:val="24"/>
          <w:szCs w:val="24"/>
          <w:lang w:val="kk-KZ"/>
        </w:rPr>
      </w:pPr>
      <w:r>
        <w:rPr>
          <w:rFonts w:ascii="Times New Roman" w:hAnsi="Times New Roman" w:cs="Times New Roman"/>
          <w:b/>
          <w:sz w:val="24"/>
          <w:szCs w:val="24"/>
          <w:lang w:val="kk-KZ"/>
        </w:rPr>
        <w:t>Қосымша 2</w:t>
      </w:r>
    </w:p>
    <w:p w14:paraId="13238D62">
      <w:pPr>
        <w:jc w:val="center"/>
        <w:rPr>
          <w:rFonts w:ascii="Times New Roman" w:hAnsi="Times New Roman" w:cs="Times New Roman"/>
          <w:b/>
          <w:sz w:val="24"/>
          <w:szCs w:val="24"/>
          <w:lang w:val="kk-KZ"/>
        </w:rPr>
      </w:pPr>
      <w:r>
        <w:rPr>
          <w:rFonts w:ascii="Times New Roman" w:hAnsi="Times New Roman" w:cs="Times New Roman"/>
          <w:b/>
          <w:sz w:val="24"/>
          <w:szCs w:val="24"/>
          <w:lang w:val="kk-KZ"/>
        </w:rPr>
        <w:t>Бір тумбалық үстел</w:t>
      </w:r>
    </w:p>
    <w:p w14:paraId="7CFADA5F">
      <w:pPr>
        <w:jc w:val="both"/>
        <w:rPr>
          <w:rFonts w:ascii="Times New Roman" w:hAnsi="Times New Roman" w:cs="Times New Roman"/>
          <w:sz w:val="24"/>
          <w:szCs w:val="24"/>
          <w:lang w:val="kk-KZ"/>
        </w:rPr>
      </w:pPr>
      <w:r>
        <w:rPr>
          <w:sz w:val="24"/>
          <w:szCs w:val="24"/>
        </w:rPr>
        <w:drawing>
          <wp:inline distT="0" distB="0" distL="0" distR="0">
            <wp:extent cx="6057900" cy="3921760"/>
            <wp:effectExtent l="0" t="0" r="0" b="254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6067384" cy="3927900"/>
                    </a:xfrm>
                    <a:prstGeom prst="rect">
                      <a:avLst/>
                    </a:prstGeom>
                    <a:noFill/>
                    <a:ln>
                      <a:noFill/>
                    </a:ln>
                  </pic:spPr>
                </pic:pic>
              </a:graphicData>
            </a:graphic>
          </wp:inline>
        </w:drawing>
      </w:r>
    </w:p>
    <w:p w14:paraId="655A99FD">
      <w:pPr>
        <w:jc w:val="both"/>
        <w:rPr>
          <w:rFonts w:ascii="Times New Roman" w:hAnsi="Times New Roman" w:cs="Times New Roman"/>
          <w:b/>
          <w:sz w:val="24"/>
          <w:szCs w:val="24"/>
          <w:lang w:val="kk-KZ"/>
        </w:rPr>
      </w:pPr>
      <w:r>
        <w:rPr>
          <w:rFonts w:ascii="Times New Roman" w:hAnsi="Times New Roman" w:cs="Times New Roman"/>
          <w:b/>
          <w:sz w:val="24"/>
          <w:szCs w:val="24"/>
          <w:lang w:val="kk-KZ"/>
        </w:rPr>
        <w:t xml:space="preserve">                                                       Техникалық сипаттамасы           </w:t>
      </w:r>
    </w:p>
    <w:tbl>
      <w:tblPr>
        <w:tblStyle w:val="6"/>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6540"/>
        <w:gridCol w:w="1276"/>
        <w:gridCol w:w="1134"/>
      </w:tblGrid>
      <w:tr w14:paraId="5329E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56" w:type="dxa"/>
            <w:vAlign w:val="center"/>
          </w:tcPr>
          <w:p w14:paraId="48CEA5D2">
            <w:pPr>
              <w:pStyle w:val="7"/>
              <w:jc w:val="center"/>
              <w:rPr>
                <w:rFonts w:ascii="Times New Roman" w:hAnsi="Times New Roman" w:cs="Times New Roman"/>
                <w:b/>
                <w:sz w:val="24"/>
                <w:szCs w:val="24"/>
                <w:lang w:val="kk-KZ"/>
              </w:rPr>
            </w:pPr>
            <w:r>
              <w:rPr>
                <w:rFonts w:ascii="Times New Roman" w:hAnsi="Times New Roman" w:cs="Times New Roman"/>
                <w:b/>
                <w:sz w:val="24"/>
                <w:szCs w:val="24"/>
                <w:lang w:val="kk-KZ"/>
              </w:rPr>
              <w:t>№</w:t>
            </w:r>
          </w:p>
        </w:tc>
        <w:tc>
          <w:tcPr>
            <w:tcW w:w="6540" w:type="dxa"/>
            <w:vAlign w:val="center"/>
          </w:tcPr>
          <w:p w14:paraId="55E5EB95">
            <w:pPr>
              <w:pStyle w:val="7"/>
              <w:jc w:val="center"/>
              <w:rPr>
                <w:rFonts w:ascii="Times New Roman" w:hAnsi="Times New Roman" w:cs="Times New Roman"/>
                <w:b/>
                <w:sz w:val="24"/>
                <w:szCs w:val="24"/>
                <w:lang w:val="kk-KZ"/>
              </w:rPr>
            </w:pPr>
            <w:r>
              <w:rPr>
                <w:rFonts w:ascii="Times New Roman" w:hAnsi="Times New Roman" w:cs="Times New Roman"/>
                <w:b/>
                <w:sz w:val="24"/>
                <w:szCs w:val="24"/>
                <w:lang w:val="kk-KZ"/>
              </w:rPr>
              <w:t>Тауарлар  атауы</w:t>
            </w:r>
          </w:p>
        </w:tc>
        <w:tc>
          <w:tcPr>
            <w:tcW w:w="1276" w:type="dxa"/>
            <w:vAlign w:val="center"/>
          </w:tcPr>
          <w:p w14:paraId="1EBF38BA">
            <w:pPr>
              <w:pStyle w:val="7"/>
              <w:jc w:val="center"/>
              <w:rPr>
                <w:rFonts w:ascii="Times New Roman" w:hAnsi="Times New Roman" w:cs="Times New Roman"/>
                <w:b/>
                <w:sz w:val="24"/>
                <w:szCs w:val="24"/>
                <w:lang w:val="kk-KZ"/>
              </w:rPr>
            </w:pPr>
            <w:r>
              <w:rPr>
                <w:rFonts w:ascii="Times New Roman" w:hAnsi="Times New Roman" w:cs="Times New Roman"/>
                <w:b/>
                <w:sz w:val="24"/>
                <w:szCs w:val="24"/>
                <w:lang w:val="kk-KZ"/>
              </w:rPr>
              <w:t>Өлшем бірлігі</w:t>
            </w:r>
          </w:p>
        </w:tc>
        <w:tc>
          <w:tcPr>
            <w:tcW w:w="1134" w:type="dxa"/>
            <w:vAlign w:val="center"/>
          </w:tcPr>
          <w:p w14:paraId="0BA6D9AD">
            <w:pPr>
              <w:pStyle w:val="7"/>
              <w:jc w:val="center"/>
              <w:rPr>
                <w:rFonts w:ascii="Times New Roman" w:hAnsi="Times New Roman" w:cs="Times New Roman"/>
                <w:b/>
                <w:sz w:val="24"/>
                <w:szCs w:val="24"/>
                <w:lang w:val="kk-KZ"/>
              </w:rPr>
            </w:pPr>
            <w:r>
              <w:rPr>
                <w:rFonts w:ascii="Times New Roman" w:hAnsi="Times New Roman" w:cs="Times New Roman"/>
                <w:b/>
                <w:sz w:val="24"/>
                <w:szCs w:val="24"/>
                <w:lang w:val="kk-KZ"/>
              </w:rPr>
              <w:t>Саны</w:t>
            </w:r>
          </w:p>
        </w:tc>
      </w:tr>
      <w:tr w14:paraId="6B838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656" w:type="dxa"/>
          </w:tcPr>
          <w:p w14:paraId="15C275AA">
            <w:pPr>
              <w:jc w:val="center"/>
              <w:rPr>
                <w:rFonts w:ascii="Times New Roman" w:hAnsi="Times New Roman" w:cs="Times New Roman"/>
                <w:b/>
                <w:sz w:val="28"/>
                <w:szCs w:val="28"/>
                <w:lang w:val="kk-KZ"/>
              </w:rPr>
            </w:pPr>
            <w:r>
              <w:rPr>
                <w:rFonts w:ascii="Times New Roman" w:hAnsi="Times New Roman" w:cs="Times New Roman"/>
                <w:b/>
                <w:sz w:val="28"/>
                <w:szCs w:val="28"/>
                <w:lang w:val="kk-KZ"/>
              </w:rPr>
              <w:t>1</w:t>
            </w:r>
          </w:p>
        </w:tc>
        <w:tc>
          <w:tcPr>
            <w:tcW w:w="6540" w:type="dxa"/>
          </w:tcPr>
          <w:p w14:paraId="2CB2AB64">
            <w:pPr>
              <w:pStyle w:val="7"/>
              <w:rPr>
                <w:rFonts w:ascii="Times New Roman" w:hAnsi="Times New Roman" w:cs="Times New Roman"/>
                <w:sz w:val="24"/>
                <w:szCs w:val="24"/>
                <w:lang w:val="kk-KZ"/>
              </w:rPr>
            </w:pPr>
            <w:r>
              <w:rPr>
                <w:rFonts w:ascii="Times New Roman" w:hAnsi="Times New Roman" w:cs="Times New Roman"/>
                <w:sz w:val="24"/>
                <w:szCs w:val="24"/>
                <w:lang w:val="kk-KZ"/>
              </w:rPr>
              <w:t>1. Корпус жоғары сапалы ламинатталған ДСП-дан жасалған, қалыңдығы кемінде 16 мм, термореактивті полимерлер негізінде, формальдегидтің эмиссия класы Е-1 сорт.</w:t>
            </w:r>
          </w:p>
          <w:p w14:paraId="4A03865A">
            <w:pPr>
              <w:pStyle w:val="7"/>
              <w:rPr>
                <w:rFonts w:ascii="Times New Roman" w:hAnsi="Times New Roman" w:cs="Times New Roman"/>
                <w:sz w:val="24"/>
                <w:szCs w:val="24"/>
                <w:lang w:val="kk-KZ"/>
              </w:rPr>
            </w:pPr>
            <w:r>
              <w:rPr>
                <w:rFonts w:ascii="Times New Roman" w:hAnsi="Times New Roman" w:cs="Times New Roman"/>
                <w:sz w:val="24"/>
                <w:szCs w:val="24"/>
                <w:lang w:val="kk-KZ"/>
              </w:rPr>
              <w:t>2. Барлық ДСП бөлшектері қалыңдығы 1 мм-ден 2 мм-ге дейін жоғары сапалы ПВХ жиегімен өңделеді.</w:t>
            </w:r>
          </w:p>
          <w:p w14:paraId="3BA17E90">
            <w:pPr>
              <w:pStyle w:val="7"/>
              <w:rPr>
                <w:rFonts w:ascii="Times New Roman" w:hAnsi="Times New Roman" w:cs="Times New Roman"/>
                <w:sz w:val="24"/>
                <w:szCs w:val="24"/>
                <w:lang w:val="kk-KZ"/>
              </w:rPr>
            </w:pPr>
            <w:r>
              <w:rPr>
                <w:rFonts w:ascii="Times New Roman" w:hAnsi="Times New Roman" w:cs="Times New Roman"/>
                <w:sz w:val="24"/>
                <w:szCs w:val="24"/>
                <w:lang w:val="kk-KZ"/>
              </w:rPr>
              <w:t>3. Барлық алдыңғы, алдыңғы бөліктер қалыңдығы кемінде 16 мм жоғары сапалы орташа тығыздықтағы талшықты тақтадан (МДФ) жасалған.</w:t>
            </w:r>
          </w:p>
          <w:p w14:paraId="55112326">
            <w:pPr>
              <w:pStyle w:val="7"/>
              <w:rPr>
                <w:rFonts w:ascii="Times New Roman" w:hAnsi="Times New Roman" w:cs="Times New Roman"/>
                <w:sz w:val="24"/>
                <w:szCs w:val="24"/>
                <w:lang w:val="kk-KZ"/>
              </w:rPr>
            </w:pPr>
            <w:r>
              <w:rPr>
                <w:rFonts w:ascii="Times New Roman" w:hAnsi="Times New Roman" w:cs="Times New Roman"/>
                <w:sz w:val="24"/>
                <w:szCs w:val="24"/>
                <w:lang w:val="kk-KZ"/>
              </w:rPr>
              <w:t>4. Барлық MDF бөлшектері қалыңдығы кемінде 0,8 мм жоғары сапалы ПВХ пленкасымен (поливинилхлорид) қапталған.</w:t>
            </w:r>
          </w:p>
          <w:p w14:paraId="4818B8F2">
            <w:pPr>
              <w:pStyle w:val="4"/>
              <w:bidi w:val="0"/>
              <w:rPr>
                <w:rFonts w:hint="default" w:ascii="Times New Roman" w:hAnsi="Times New Roman" w:cs="Times New Roman"/>
                <w:sz w:val="24"/>
                <w:szCs w:val="24"/>
              </w:rPr>
            </w:pPr>
            <w:r>
              <w:rPr>
                <w:rFonts w:hint="default" w:ascii="Times New Roman" w:hAnsi="Times New Roman" w:cs="Times New Roman"/>
                <w:sz w:val="24"/>
                <w:szCs w:val="24"/>
              </w:rPr>
              <w:t>Үстелдің пішіні төртбұрышты. Бір тартпа бар. Үстелдің астында, оң жағында, сөрелері бар есігі бар шкаф бар. Шкафтың үстіңгі жағында телескопиялық тартпа бағыттағыштары бар тартпа бар. Ұштары қалыңдығы 2 мм соққыға төзімді ПВХ жиегімен қапталған.</w:t>
            </w:r>
          </w:p>
          <w:p w14:paraId="66E57311">
            <w:pPr>
              <w:pStyle w:val="7"/>
              <w:rPr>
                <w:rFonts w:ascii="Times New Roman" w:hAnsi="Times New Roman" w:cs="Times New Roman"/>
                <w:sz w:val="24"/>
                <w:szCs w:val="24"/>
                <w:lang w:val="kk-KZ"/>
              </w:rPr>
            </w:pPr>
          </w:p>
          <w:p w14:paraId="7B561BA1">
            <w:pPr>
              <w:pStyle w:val="7"/>
              <w:rPr>
                <w:rFonts w:ascii="Times New Roman" w:hAnsi="Times New Roman" w:cs="Times New Roman"/>
                <w:sz w:val="24"/>
                <w:szCs w:val="24"/>
                <w:lang w:val="kk-KZ"/>
              </w:rPr>
            </w:pPr>
            <w:r>
              <w:rPr>
                <w:rFonts w:ascii="Times New Roman" w:hAnsi="Times New Roman" w:cs="Times New Roman"/>
                <w:sz w:val="24"/>
                <w:szCs w:val="24"/>
                <w:lang w:val="kk-KZ"/>
              </w:rPr>
              <w:t>5. Барлық қолданылатын арматура, стяжкалар (минифтер, растамалар, бұрандалар, бұрандалар), сарайлар, жетекші өндірушілердің тартылатын механизмдері сапа кепілдігіне ие.</w:t>
            </w:r>
          </w:p>
          <w:p w14:paraId="7C3ACF5A">
            <w:pPr>
              <w:pStyle w:val="7"/>
              <w:rPr>
                <w:rFonts w:ascii="Times New Roman" w:hAnsi="Times New Roman" w:cs="Times New Roman"/>
                <w:sz w:val="24"/>
                <w:szCs w:val="24"/>
                <w:lang w:val="kk-KZ"/>
              </w:rPr>
            </w:pPr>
            <w:r>
              <w:rPr>
                <w:rFonts w:ascii="Times New Roman" w:hAnsi="Times New Roman" w:cs="Times New Roman"/>
                <w:sz w:val="24"/>
                <w:szCs w:val="24"/>
                <w:lang w:val="kk-KZ"/>
              </w:rPr>
              <w:t>6. Түсі</w:t>
            </w:r>
            <w:r>
              <w:rPr>
                <w:rFonts w:hint="default" w:ascii="Times New Roman" w:hAnsi="Times New Roman" w:cs="Times New Roman"/>
                <w:sz w:val="24"/>
                <w:szCs w:val="24"/>
                <w:lang w:val="ru-RU"/>
              </w:rPr>
              <w:t>(</w:t>
            </w:r>
            <w:r>
              <w:rPr>
                <w:rFonts w:hint="default" w:ascii="Times New Roman" w:hAnsi="Times New Roman" w:cs="Times New Roman"/>
                <w:sz w:val="24"/>
                <w:szCs w:val="24"/>
                <w:lang w:val="kk-KZ"/>
              </w:rPr>
              <w:t xml:space="preserve">сұр </w:t>
            </w:r>
            <w:r>
              <w:rPr>
                <w:rFonts w:ascii="Times New Roman" w:hAnsi="Times New Roman" w:cs="Times New Roman"/>
                <w:sz w:val="24"/>
                <w:szCs w:val="24"/>
                <w:lang w:val="kk-KZ"/>
              </w:rPr>
              <w:t xml:space="preserve"> -Тапсырыс берушінің</w:t>
            </w:r>
            <w:bookmarkStart w:id="0" w:name="_GoBack"/>
            <w:bookmarkEnd w:id="0"/>
            <w:r>
              <w:rPr>
                <w:rFonts w:hint="default" w:ascii="Times New Roman" w:hAnsi="Times New Roman" w:cs="Times New Roman"/>
                <w:sz w:val="24"/>
                <w:szCs w:val="24"/>
                <w:lang w:val="kk-KZ"/>
              </w:rPr>
              <w:t xml:space="preserve"> </w:t>
            </w:r>
            <w:r>
              <w:rPr>
                <w:rFonts w:ascii="Times New Roman" w:hAnsi="Times New Roman" w:cs="Times New Roman"/>
                <w:sz w:val="24"/>
                <w:szCs w:val="24"/>
                <w:lang w:val="kk-KZ"/>
              </w:rPr>
              <w:t xml:space="preserve"> келісімі бойынша </w:t>
            </w:r>
          </w:p>
          <w:p w14:paraId="3F9756C3">
            <w:pPr>
              <w:pStyle w:val="7"/>
              <w:rPr>
                <w:rFonts w:ascii="Calibri" w:hAnsi="Calibri" w:cs="Times New Roman"/>
                <w:sz w:val="28"/>
                <w:szCs w:val="28"/>
                <w:lang w:val="kk-KZ"/>
              </w:rPr>
            </w:pPr>
            <w:r>
              <w:rPr>
                <w:rFonts w:ascii="Times New Roman" w:hAnsi="Times New Roman" w:cs="Times New Roman"/>
                <w:b/>
                <w:sz w:val="24"/>
                <w:szCs w:val="24"/>
                <w:lang w:val="kk-KZ"/>
              </w:rPr>
              <w:t>Жеткізушіге қойылатын талап:</w:t>
            </w:r>
            <w:r>
              <w:rPr>
                <w:rFonts w:ascii="Times New Roman" w:hAnsi="Times New Roman" w:cs="Times New Roman"/>
                <w:sz w:val="24"/>
                <w:szCs w:val="24"/>
                <w:lang w:val="kk-KZ"/>
              </w:rPr>
              <w:t xml:space="preserve"> жеткізуші жеткізілген тауарға қабылдау, беру актісіне қол қойылған күннен бастап 12 ай ішінде белгіленген кепілдік мерзімі ішінде тауардың сапасына кепілдік беруі тиіс. Тауарды Тапсырыс берушінің қоймасына, өнім берушінің күштері мен қаражаты есебінен түсіру. Өнім берушінің немесе оның заңды өкілінің тауарды беруі.</w:t>
            </w:r>
          </w:p>
        </w:tc>
        <w:tc>
          <w:tcPr>
            <w:tcW w:w="1276" w:type="dxa"/>
          </w:tcPr>
          <w:p w14:paraId="66E459B0">
            <w:pPr>
              <w:jc w:val="center"/>
              <w:rPr>
                <w:rFonts w:ascii="Times New Roman" w:hAnsi="Times New Roman" w:cs="Times New Roman"/>
                <w:sz w:val="28"/>
                <w:szCs w:val="28"/>
                <w:lang w:val="kk-KZ"/>
              </w:rPr>
            </w:pPr>
            <w:r>
              <w:rPr>
                <w:rFonts w:ascii="Times New Roman" w:hAnsi="Times New Roman" w:cs="Times New Roman"/>
                <w:sz w:val="28"/>
                <w:szCs w:val="28"/>
                <w:lang w:val="kk-KZ"/>
              </w:rPr>
              <w:t>дана</w:t>
            </w:r>
          </w:p>
        </w:tc>
        <w:tc>
          <w:tcPr>
            <w:tcW w:w="1134" w:type="dxa"/>
          </w:tcPr>
          <w:p w14:paraId="61AF1CEA">
            <w:pPr>
              <w:jc w:val="center"/>
              <w:rPr>
                <w:rFonts w:hint="default" w:ascii="Times New Roman" w:hAnsi="Times New Roman" w:cs="Times New Roman"/>
                <w:sz w:val="28"/>
                <w:szCs w:val="28"/>
                <w:lang w:val="ru-RU"/>
              </w:rPr>
            </w:pPr>
            <w:r>
              <w:rPr>
                <w:rFonts w:hint="default" w:ascii="Times New Roman" w:hAnsi="Times New Roman" w:cs="Times New Roman"/>
                <w:sz w:val="28"/>
                <w:szCs w:val="28"/>
                <w:lang w:val="ru-RU"/>
              </w:rPr>
              <w:t>60</w:t>
            </w:r>
          </w:p>
        </w:tc>
      </w:tr>
    </w:tbl>
    <w:p w14:paraId="3D128912"/>
    <w:p w14:paraId="5C821646"/>
    <w:p w14:paraId="3B6630EC">
      <w:pPr>
        <w:pStyle w:val="9"/>
        <w:widowControl/>
        <w:shd w:val="clear" w:fill="EEEEEE"/>
        <w:jc w:val="left"/>
        <w:rPr>
          <w:rFonts w:eastAsia="Helvetica"/>
          <w:color w:val="212529"/>
          <w:spacing w:val="0"/>
          <w:kern w:val="0"/>
          <w:sz w:val="0"/>
          <w:szCs w:val="0"/>
          <w:shd w:val="clear" w:fill="EEEEEE"/>
          <w:lang w:val="en-US"/>
        </w:rPr>
      </w:pPr>
      <w:r>
        <w:rPr>
          <w:rFonts w:hint="default" w:eastAsia="Helvetica"/>
          <w:b/>
          <w:bCs/>
          <w:color w:val="212529"/>
          <w:shd w:val="clear" w:fill="EEEEEE"/>
          <w:lang w:val="kk-KZ"/>
        </w:rPr>
        <w:t>Жеткізу  уақыты</w:t>
      </w:r>
      <w:r>
        <w:rPr>
          <w:rFonts w:hint="default" w:eastAsia="Helvetica"/>
          <w:color w:val="212529"/>
          <w:shd w:val="clear" w:fill="EEEEEE"/>
          <w:lang w:val="kk-KZ"/>
        </w:rPr>
        <w:t xml:space="preserve">  </w:t>
      </w:r>
      <w:r>
        <w:rPr>
          <w:rFonts w:eastAsia="Helvetica"/>
          <w:color w:val="212529"/>
          <w:shd w:val="clear" w:fill="EEEEEE"/>
          <w:lang w:val="ru"/>
        </w:rPr>
        <w:t>Келісім</w:t>
      </w:r>
      <w:r>
        <w:rPr>
          <w:rFonts w:eastAsia="Helvetica"/>
          <w:color w:val="212529"/>
          <w:shd w:val="clear" w:fill="EEEEEE"/>
          <w:lang w:val="en-US"/>
        </w:rPr>
        <w:t xml:space="preserve"> </w:t>
      </w:r>
      <w:r>
        <w:rPr>
          <w:rFonts w:eastAsia="Helvetica"/>
          <w:color w:val="212529"/>
          <w:shd w:val="clear" w:fill="EEEEEE"/>
          <w:lang w:val="ru"/>
        </w:rPr>
        <w:t>шарт</w:t>
      </w:r>
      <w:r>
        <w:rPr>
          <w:rFonts w:eastAsia="Helvetica"/>
          <w:color w:val="212529"/>
          <w:shd w:val="clear" w:fill="EEEEEE"/>
          <w:lang w:val="en-US"/>
        </w:rPr>
        <w:t xml:space="preserve"> </w:t>
      </w:r>
      <w:r>
        <w:rPr>
          <w:rFonts w:eastAsia="Helvetica"/>
          <w:color w:val="212529"/>
          <w:shd w:val="clear" w:fill="EEEEEE"/>
          <w:lang w:val="ru"/>
        </w:rPr>
        <w:t>күшіне</w:t>
      </w:r>
      <w:r>
        <w:rPr>
          <w:rFonts w:eastAsia="Helvetica"/>
          <w:color w:val="212529"/>
          <w:shd w:val="clear" w:fill="EEEEEE"/>
          <w:lang w:val="en-US"/>
        </w:rPr>
        <w:t xml:space="preserve"> </w:t>
      </w:r>
      <w:r>
        <w:rPr>
          <w:rFonts w:eastAsia="Helvetica"/>
          <w:color w:val="212529"/>
          <w:shd w:val="clear" w:fill="EEEEEE"/>
          <w:lang w:val="ru"/>
        </w:rPr>
        <w:t>енген</w:t>
      </w:r>
      <w:r>
        <w:rPr>
          <w:rFonts w:eastAsia="Helvetica"/>
          <w:color w:val="212529"/>
          <w:shd w:val="clear" w:fill="EEEEEE"/>
          <w:lang w:val="en-US"/>
        </w:rPr>
        <w:t xml:space="preserve"> </w:t>
      </w:r>
      <w:r>
        <w:rPr>
          <w:rFonts w:eastAsia="Helvetica"/>
          <w:color w:val="212529"/>
          <w:shd w:val="clear" w:fill="EEEEEE"/>
          <w:lang w:val="ru"/>
        </w:rPr>
        <w:t>күннен</w:t>
      </w:r>
      <w:r>
        <w:rPr>
          <w:rFonts w:eastAsia="Helvetica"/>
          <w:color w:val="212529"/>
          <w:shd w:val="clear" w:fill="EEEEEE"/>
          <w:lang w:val="en-US"/>
        </w:rPr>
        <w:t xml:space="preserve"> </w:t>
      </w:r>
      <w:r>
        <w:rPr>
          <w:rFonts w:eastAsia="Helvetica"/>
          <w:color w:val="212529"/>
          <w:shd w:val="clear" w:fill="EEEEEE"/>
          <w:lang w:val="ru"/>
        </w:rPr>
        <w:t>бастап</w:t>
      </w:r>
      <w:r>
        <w:rPr>
          <w:rFonts w:eastAsia="Helvetica"/>
          <w:color w:val="212529"/>
          <w:shd w:val="clear" w:fill="EEEEEE"/>
          <w:lang w:val="en-US"/>
        </w:rPr>
        <w:t xml:space="preserve"> 25 </w:t>
      </w:r>
      <w:r>
        <w:rPr>
          <w:rFonts w:eastAsia="Helvetica"/>
          <w:color w:val="212529"/>
          <w:shd w:val="clear" w:fill="EEEEEE"/>
          <w:lang w:val="ru"/>
        </w:rPr>
        <w:t>күнтізбелік</w:t>
      </w:r>
      <w:r>
        <w:rPr>
          <w:rFonts w:eastAsia="Helvetica"/>
          <w:color w:val="212529"/>
          <w:shd w:val="clear" w:fill="EEEEEE"/>
          <w:lang w:val="en-US"/>
        </w:rPr>
        <w:t xml:space="preserve"> </w:t>
      </w:r>
      <w:r>
        <w:rPr>
          <w:rFonts w:eastAsia="Helvetica"/>
          <w:color w:val="212529"/>
          <w:shd w:val="clear" w:fill="EEEEEE"/>
          <w:lang w:val="ru"/>
        </w:rPr>
        <w:t>күн</w:t>
      </w:r>
      <w:r>
        <w:rPr>
          <w:rFonts w:eastAsia="Helvetica"/>
          <w:color w:val="212529"/>
          <w:shd w:val="clear" w:fill="EEEEEE"/>
          <w:lang w:val="en-US"/>
        </w:rPr>
        <w:t xml:space="preserve"> </w:t>
      </w:r>
      <w:r>
        <w:rPr>
          <w:rFonts w:eastAsia="Helvetica"/>
          <w:color w:val="212529"/>
          <w:shd w:val="clear" w:fill="EEEEEE"/>
          <w:lang w:val="ru"/>
        </w:rPr>
        <w:t>ішінде</w:t>
      </w:r>
      <w:r>
        <w:rPr>
          <w:rFonts w:eastAsia="Helvetica"/>
          <w:color w:val="212529"/>
          <w:shd w:val="clear" w:fill="EEEEEE"/>
          <w:lang w:val="en-US"/>
        </w:rPr>
        <w:t xml:space="preserve"> ,</w:t>
      </w:r>
      <w:r>
        <w:rPr>
          <w:rFonts w:eastAsia="Helvetica"/>
          <w:color w:val="212529"/>
          <w:shd w:val="clear" w:fill="EEEEEE"/>
          <w:lang w:val="ru"/>
        </w:rPr>
        <w:t>Жеткізуші</w:t>
      </w:r>
      <w:r>
        <w:rPr>
          <w:rFonts w:eastAsia="Helvetica"/>
          <w:color w:val="212529"/>
          <w:shd w:val="clear" w:fill="EEEEEE"/>
          <w:lang w:val="en-US"/>
        </w:rPr>
        <w:t xml:space="preserve"> </w:t>
      </w:r>
      <w:r>
        <w:rPr>
          <w:rFonts w:eastAsia="Helvetica"/>
          <w:color w:val="212529"/>
          <w:shd w:val="clear" w:fill="EEEEEE"/>
          <w:lang w:val="ru"/>
        </w:rPr>
        <w:t>Қазақстандық</w:t>
      </w:r>
      <w:r>
        <w:rPr>
          <w:rFonts w:eastAsia="Helvetica"/>
          <w:color w:val="212529"/>
          <w:shd w:val="clear" w:fill="EEEEEE"/>
          <w:lang w:val="en-US"/>
        </w:rPr>
        <w:t xml:space="preserve"> </w:t>
      </w:r>
      <w:r>
        <w:rPr>
          <w:rFonts w:eastAsia="Helvetica"/>
          <w:color w:val="212529"/>
          <w:shd w:val="clear" w:fill="EEEEEE"/>
          <w:lang w:val="ru"/>
        </w:rPr>
        <w:t>тауар</w:t>
      </w:r>
      <w:r>
        <w:rPr>
          <w:rFonts w:eastAsia="Helvetica"/>
          <w:color w:val="212529"/>
          <w:shd w:val="clear" w:fill="EEEEEE"/>
          <w:lang w:val="en-US"/>
        </w:rPr>
        <w:t xml:space="preserve"> </w:t>
      </w:r>
      <w:r>
        <w:rPr>
          <w:rFonts w:eastAsia="Helvetica"/>
          <w:color w:val="212529"/>
          <w:shd w:val="clear" w:fill="EEEEEE"/>
          <w:lang w:val="ru"/>
        </w:rPr>
        <w:t>өндірушілер</w:t>
      </w:r>
      <w:r>
        <w:rPr>
          <w:rFonts w:eastAsia="Helvetica"/>
          <w:color w:val="212529"/>
          <w:shd w:val="clear" w:fill="EEEEEE"/>
          <w:lang w:val="en-US"/>
        </w:rPr>
        <w:t xml:space="preserve"> </w:t>
      </w:r>
      <w:r>
        <w:rPr>
          <w:rFonts w:eastAsia="Helvetica"/>
          <w:color w:val="212529"/>
          <w:shd w:val="clear" w:fill="EEEEEE"/>
          <w:lang w:val="ru"/>
        </w:rPr>
        <w:t>тізілімінде</w:t>
      </w:r>
      <w:r>
        <w:rPr>
          <w:rFonts w:eastAsia="Helvetica"/>
          <w:color w:val="212529"/>
          <w:shd w:val="clear" w:fill="EEEEEE"/>
          <w:lang w:val="en-US"/>
        </w:rPr>
        <w:t xml:space="preserve"> </w:t>
      </w:r>
      <w:r>
        <w:rPr>
          <w:rFonts w:eastAsia="Helvetica"/>
          <w:color w:val="212529"/>
          <w:shd w:val="clear" w:fill="EEEEEE"/>
          <w:lang w:val="ru"/>
        </w:rPr>
        <w:t>болған</w:t>
      </w:r>
      <w:r>
        <w:rPr>
          <w:rFonts w:eastAsia="Helvetica"/>
          <w:color w:val="212529"/>
          <w:shd w:val="clear" w:fill="EEEEEE"/>
          <w:lang w:val="en-US"/>
        </w:rPr>
        <w:t xml:space="preserve"> </w:t>
      </w:r>
      <w:r>
        <w:rPr>
          <w:rFonts w:eastAsia="Helvetica"/>
          <w:color w:val="212529"/>
          <w:shd w:val="clear" w:fill="EEEEEE"/>
          <w:lang w:val="ru"/>
        </w:rPr>
        <w:t>жағдайда</w:t>
      </w:r>
      <w:r>
        <w:rPr>
          <w:rFonts w:eastAsia="Helvetica"/>
          <w:color w:val="212529"/>
          <w:shd w:val="clear" w:fill="EEEEEE"/>
          <w:lang w:val="en-US"/>
        </w:rPr>
        <w:t xml:space="preserve">, </w:t>
      </w:r>
      <w:r>
        <w:rPr>
          <w:rFonts w:eastAsia="Helvetica"/>
          <w:color w:val="212529"/>
          <w:shd w:val="clear" w:fill="EEEEEE"/>
          <w:lang w:val="ru"/>
        </w:rPr>
        <w:t>жеткізу</w:t>
      </w:r>
      <w:r>
        <w:rPr>
          <w:rFonts w:eastAsia="Helvetica"/>
          <w:color w:val="212529"/>
          <w:shd w:val="clear" w:fill="EEEEEE"/>
          <w:lang w:val="en-US"/>
        </w:rPr>
        <w:t xml:space="preserve"> </w:t>
      </w:r>
      <w:r>
        <w:rPr>
          <w:rFonts w:eastAsia="Helvetica"/>
          <w:color w:val="212529"/>
          <w:shd w:val="clear" w:fill="EEEEEE"/>
          <w:lang w:val="ru"/>
        </w:rPr>
        <w:t>мерзімі</w:t>
      </w:r>
      <w:r>
        <w:rPr>
          <w:rFonts w:eastAsia="Helvetica"/>
          <w:color w:val="212529"/>
          <w:shd w:val="clear" w:fill="EEEEEE"/>
          <w:lang w:val="en-US"/>
        </w:rPr>
        <w:t xml:space="preserve"> </w:t>
      </w:r>
      <w:r>
        <w:rPr>
          <w:rFonts w:eastAsia="Helvetica"/>
          <w:color w:val="212529"/>
          <w:shd w:val="clear" w:fill="EEEEEE"/>
          <w:lang w:val="ru"/>
        </w:rPr>
        <w:t>күнтізбелік</w:t>
      </w:r>
      <w:r>
        <w:rPr>
          <w:rFonts w:eastAsia="Helvetica"/>
          <w:color w:val="212529"/>
          <w:shd w:val="clear" w:fill="EEEEEE"/>
          <w:lang w:val="en-US"/>
        </w:rPr>
        <w:t xml:space="preserve"> 60 </w:t>
      </w:r>
      <w:r>
        <w:rPr>
          <w:rFonts w:eastAsia="Helvetica"/>
          <w:color w:val="212529"/>
          <w:shd w:val="clear" w:fill="EEEEEE"/>
          <w:lang w:val="ru"/>
        </w:rPr>
        <w:t>күн</w:t>
      </w:r>
      <w:r>
        <w:rPr>
          <w:rFonts w:eastAsia="Helvetica"/>
          <w:color w:val="212529"/>
          <w:shd w:val="clear" w:fill="EEEEEE"/>
          <w:lang w:val="en-US"/>
        </w:rPr>
        <w:t xml:space="preserve"> </w:t>
      </w:r>
      <w:r>
        <w:rPr>
          <w:rFonts w:eastAsia="Helvetica"/>
          <w:color w:val="212529"/>
          <w:shd w:val="clear" w:fill="EEEEEE"/>
          <w:lang w:val="ru"/>
        </w:rPr>
        <w:t>ішінде</w:t>
      </w:r>
    </w:p>
    <w:p w14:paraId="62BC14B1">
      <w:pPr>
        <w:rPr>
          <w:rFonts w:hint="default"/>
          <w:lang w:val="kk-KZ"/>
        </w:rPr>
      </w:pPr>
      <w:r>
        <w:rPr>
          <w:rFonts w:hint="default"/>
          <w:lang w:val="kk-KZ"/>
        </w:rPr>
        <w:t xml:space="preserve">  </w:t>
      </w:r>
    </w:p>
    <w:p w14:paraId="0D5A117F">
      <w:pPr>
        <w:rPr>
          <w:rFonts w:hint="default" w:ascii="Times New Roman" w:hAnsi="Times New Roman" w:cs="Times New Roman"/>
          <w:sz w:val="24"/>
          <w:szCs w:val="24"/>
          <w:lang w:val="kk-KZ"/>
        </w:rPr>
      </w:pPr>
      <w:r>
        <w:rPr>
          <w:rFonts w:hint="default" w:ascii="Times New Roman" w:hAnsi="Times New Roman" w:cs="Times New Roman"/>
          <w:b/>
          <w:bCs/>
          <w:sz w:val="24"/>
          <w:szCs w:val="24"/>
          <w:lang w:val="kk-KZ"/>
        </w:rPr>
        <w:t xml:space="preserve">Мекен жай </w:t>
      </w:r>
      <w:r>
        <w:rPr>
          <w:rFonts w:hint="default" w:ascii="Times New Roman" w:hAnsi="Times New Roman" w:cs="Times New Roman"/>
          <w:sz w:val="24"/>
          <w:szCs w:val="24"/>
          <w:lang w:val="kk-KZ"/>
        </w:rPr>
        <w:t xml:space="preserve"> Түркістан  қаласы  Абай  көш-сі №159</w:t>
      </w:r>
    </w:p>
    <w:sectPr>
      <w:pgSz w:w="11906" w:h="16838"/>
      <w:pgMar w:top="567"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Calibri">
    <w:panose1 w:val="020F0502020204030204"/>
    <w:charset w:val="CC"/>
    <w:family w:val="auto"/>
    <w:pitch w:val="variable"/>
    <w:sig w:usb0="E4002EFF" w:usb1="C200247B" w:usb2="00000009" w:usb3="00000000" w:csb0="200001FF" w:csb1="00000000"/>
  </w:font>
  <w:font w:name="Helvetica">
    <w:altName w:val="Arial"/>
    <w:panose1 w:val="020B0604020202020204"/>
    <w:charset w:val="CC"/>
    <w:family w:val="auto"/>
    <w:pitch w:val="variable"/>
    <w:sig w:usb0="E0002EFF" w:usb1="C000785B" w:usb2="00000009" w:usb3="00000000" w:csb0="000001FF" w:csb1="00000000"/>
  </w:font>
  <w:font w:name="@SimSun">
    <w:panose1 w:val="02010600030101010101"/>
    <w:charset w:val="86"/>
    <w:family w:val="auto"/>
    <w:pitch w:val="variable"/>
    <w:sig w:usb0="0000020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CD8"/>
    <w:rsid w:val="000D4944"/>
    <w:rsid w:val="00134C5A"/>
    <w:rsid w:val="003A6066"/>
    <w:rsid w:val="0045418C"/>
    <w:rsid w:val="00456E13"/>
    <w:rsid w:val="00922CD8"/>
    <w:rsid w:val="009B60F7"/>
    <w:rsid w:val="00FF2C9E"/>
    <w:rsid w:val="2C410445"/>
    <w:rsid w:val="6F7C7A5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pPr>
      <w:keepNext w:val="0"/>
      <w:keepLines w:val="0"/>
      <w:widowControl/>
      <w:suppressLineNumbers w:val="0"/>
      <w:spacing w:before="0" w:beforeAutospacing="0" w:after="200" w:afterAutospacing="0" w:line="276" w:lineRule="auto"/>
      <w:ind w:left="0" w:right="0"/>
    </w:pPr>
    <w:rPr>
      <w:rFonts w:ascii="Calibri" w:hAnsi="Calibri" w:cs="Times New Roman"/>
      <w:sz w:val="22"/>
      <w:szCs w:val="22"/>
      <w:lang w:eastAsia="en-US"/>
    </w:rPr>
    <w:tblPr>
      <w:tblCellMar>
        <w:top w:w="0" w:type="dxa"/>
        <w:left w:w="100" w:type="dxa"/>
        <w:bottom w:w="0" w:type="dxa"/>
        <w:right w:w="100" w:type="dxa"/>
      </w:tblCellMar>
    </w:tblPr>
  </w:style>
  <w:style w:type="paragraph" w:styleId="4">
    <w:name w:val="Balloon Text"/>
    <w:basedOn w:val="1"/>
    <w:link w:val="8"/>
    <w:unhideWhenUsed/>
    <w:qFormat/>
    <w:uiPriority w:val="99"/>
    <w:pPr>
      <w:spacing w:after="0" w:line="240" w:lineRule="auto"/>
    </w:pPr>
    <w:rPr>
      <w:rFonts w:ascii="Tahoma" w:hAnsi="Tahoma" w:cs="Tahoma"/>
      <w:sz w:val="16"/>
      <w:szCs w:val="16"/>
    </w:rPr>
  </w:style>
  <w:style w:type="paragraph" w:styleId="5">
    <w:name w:val="HTML Preformatted"/>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table" w:styleId="6">
    <w:name w:val="Table Grid"/>
    <w:basedOn w:val="3"/>
    <w:qFormat/>
    <w:uiPriority w:val="59"/>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No Spacing"/>
    <w:qFormat/>
    <w:uiPriority w:val="1"/>
    <w:pPr>
      <w:spacing w:after="0" w:line="240" w:lineRule="auto"/>
    </w:pPr>
    <w:rPr>
      <w:rFonts w:asciiTheme="minorHAnsi" w:hAnsiTheme="minorHAnsi" w:eastAsiaTheme="minorEastAsia" w:cstheme="minorBidi"/>
      <w:sz w:val="22"/>
      <w:szCs w:val="22"/>
      <w:lang w:val="ru-RU" w:eastAsia="ru-RU" w:bidi="ar-SA"/>
    </w:rPr>
  </w:style>
  <w:style w:type="character" w:customStyle="1" w:styleId="8">
    <w:name w:val="Текст выноски Знак"/>
    <w:basedOn w:val="2"/>
    <w:link w:val="4"/>
    <w:semiHidden/>
    <w:qFormat/>
    <w:uiPriority w:val="99"/>
    <w:rPr>
      <w:rFonts w:ascii="Tahoma" w:hAnsi="Tahoma" w:cs="Tahoma" w:eastAsiaTheme="minorEastAsia"/>
      <w:sz w:val="16"/>
      <w:szCs w:val="16"/>
      <w:lang w:eastAsia="ru-RU"/>
    </w:rPr>
  </w:style>
  <w:style w:type="paragraph" w:customStyle="1" w:styleId="9">
    <w:name w:val="Normal"/>
    <w:uiPriority w:val="0"/>
    <w:pPr>
      <w:keepNext w:val="0"/>
      <w:keepLines w:val="0"/>
      <w:widowControl/>
      <w:suppressLineNumbers w:val="0"/>
      <w:spacing w:before="0" w:beforeAutospacing="0" w:after="0" w:afterAutospacing="0" w:line="240" w:lineRule="auto"/>
      <w:ind w:left="0" w:right="0"/>
      <w:jc w:val="both"/>
    </w:pPr>
    <w:rPr>
      <w:rFonts w:hint="default"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ompany>
  <Pages>4</Pages>
  <Words>370</Words>
  <Characters>2450</Characters>
  <Lines>17</Lines>
  <Paragraphs>4</Paragraphs>
  <TotalTime>4</TotalTime>
  <ScaleCrop>false</ScaleCrop>
  <LinksUpToDate>false</LinksUpToDate>
  <CharactersWithSpaces>2954</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2023-11-09T04:23:00Z</dcterms:created>
  <dc:creator>Андрей</dc:creator>
  <cp:lastModifiedBy>user</cp:lastModifiedBy>
  <dcterms:modified xsi:type="dcterms:W3CDTF">2026-10-22T06:56:17Z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eyJoZGlkIjoiYWI3YTk2YjYxZjI1Zjg5MjU1Mzc3ZGI4ZDI2NzI3NzMifQ==</vt:lpwstr>
  </property>
  <property fmtid="{D5CDD505-2E9C-101B-9397-08002B2CF9AE}" pid="3" name="KSOProductBuildVer">
    <vt:lpwstr>1049-12.1.0.29162</vt:lpwstr>
  </property>
  <property fmtid="{D5CDD505-2E9C-101B-9397-08002B2CF9AE}" pid="4" name="ICV">
    <vt:lpwstr>D38888EE69CA4F22B6B63768823495D1_13</vt:lpwstr>
  </property>
</Properties>
</file>