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end"/>
        <w:rPr>
          <w:rFonts w:ascii="Times New Roman" w:hAnsi="Times New Roman" w:cs="Times New Roman"/>
          <w:i/>
          <w:i/>
          <w:sz w:val="24"/>
          <w:szCs w:val="24"/>
          <w:lang w:val="kk-KZ"/>
        </w:rPr>
      </w:pPr>
      <w:r>
        <w:rPr>
          <w:rFonts w:cs="Times New Roman"/>
          <w:i/>
          <w:color w:val="000000"/>
          <w:sz w:val="24"/>
          <w:szCs w:val="24"/>
          <w:lang w:val="kk-KZ"/>
        </w:rPr>
        <w:t>2026 ж. «___» _______________</w:t>
      </w:r>
      <w:r>
        <w:rPr>
          <w:rFonts w:cs="Times New Roman"/>
          <w:i/>
          <w:sz w:val="24"/>
          <w:szCs w:val="24"/>
          <w:lang w:val="kk-KZ"/>
        </w:rPr>
        <w:t>№</w:t>
      </w:r>
    </w:p>
    <w:p>
      <w:pPr>
        <w:pStyle w:val="Normal"/>
        <w:jc w:val="end"/>
        <w:rPr>
          <w:lang w:val="kk-KZ" w:eastAsia="zh-CN" w:bidi="ar-SA"/>
        </w:rPr>
      </w:pPr>
      <w:r>
        <w:rPr>
          <w:rFonts w:cs="Times New Roman"/>
          <w:i/>
          <w:sz w:val="24"/>
          <w:szCs w:val="24"/>
          <w:lang w:val="kk-KZ" w:eastAsia="zh-CN" w:bidi="ar-SA"/>
        </w:rPr>
        <w:t>Шартқа 2 қосымша</w:t>
      </w:r>
    </w:p>
    <w:p>
      <w:pPr>
        <w:pStyle w:val="Normal"/>
        <w:jc w:val="end"/>
        <w:rPr>
          <w:rFonts w:ascii="Times New Roman" w:hAnsi="Times New Roman" w:cs="Times New Roman"/>
          <w:i/>
          <w:i/>
          <w:sz w:val="24"/>
          <w:szCs w:val="24"/>
          <w:lang w:val="kk-KZ" w:eastAsia="zh-CN" w:bidi="ar-SA"/>
        </w:rPr>
      </w:pPr>
      <w:r>
        <w:rPr>
          <w:rFonts w:cs="Times New Roman"/>
          <w:i/>
          <w:sz w:val="24"/>
          <w:szCs w:val="24"/>
          <w:lang w:val="kk-KZ" w:eastAsia="zh-CN" w:bidi="ar-SA"/>
        </w:rPr>
      </w:r>
    </w:p>
    <w:p>
      <w:pPr>
        <w:pStyle w:val="Normal"/>
        <w:ind w:firstLine="400" w:end="0"/>
        <w:jc w:val="center"/>
        <w:rPr>
          <w:lang w:val="kk-KZ" w:eastAsia="zh-CN" w:bidi="ar-SA"/>
        </w:rPr>
      </w:pPr>
      <w:r>
        <w:rPr>
          <w:rFonts w:cs="Times New Roman"/>
          <w:b/>
          <w:color w:val="000000"/>
          <w:sz w:val="24"/>
          <w:szCs w:val="24"/>
          <w:shd w:fill="FFFFFF" w:val="clear"/>
          <w:lang w:val="kk-KZ" w:eastAsia="zh-CN" w:bidi="ar-SA"/>
        </w:rPr>
        <w:t>Көрсетілген қызметтердің техникалық ерекшелігі</w:t>
      </w:r>
    </w:p>
    <w:p>
      <w:pPr>
        <w:pStyle w:val="Normal"/>
        <w:ind w:firstLine="400" w:end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fill="FFFFFF" w:val="clear"/>
          <w:lang w:val="kk-KZ" w:eastAsia="zh-CN" w:bidi="ar-SA"/>
        </w:rPr>
      </w:pPr>
      <w:r>
        <w:rPr>
          <w:rFonts w:cs="Times New Roman"/>
          <w:b/>
          <w:color w:val="000000"/>
          <w:sz w:val="24"/>
          <w:szCs w:val="24"/>
          <w:shd w:fill="FFFFFF" w:val="clear"/>
          <w:lang w:val="kk-KZ" w:eastAsia="zh-CN" w:bidi="ar-SA"/>
        </w:rPr>
      </w:r>
    </w:p>
    <w:tbl>
      <w:tblPr>
        <w:tblW w:w="15026" w:type="dxa"/>
        <w:jc w:val="start"/>
        <w:tblInd w:w="-34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66"/>
        <w:gridCol w:w="2416"/>
        <w:gridCol w:w="8642"/>
        <w:gridCol w:w="3401"/>
      </w:tblGrid>
      <w:tr>
        <w:trPr>
          <w:trHeight w:val="267" w:hRule="atLeast"/>
        </w:trPr>
        <w:tc>
          <w:tcPr>
            <w:tcW w:w="56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№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val="kk-KZ" w:eastAsia="zh-CN" w:bidi="ar-SA"/>
              </w:rPr>
              <w:t xml:space="preserve"> </w:t>
            </w: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р/с</w:t>
            </w:r>
          </w:p>
        </w:tc>
        <w:tc>
          <w:tcPr>
            <w:tcW w:w="241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Қызметтердің атауы</w:t>
            </w:r>
          </w:p>
        </w:tc>
        <w:tc>
          <w:tcPr>
            <w:tcW w:w="864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Техникалық ерекшеліктері, сипаттамасы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kk-KZ" w:eastAsia="zh-CN" w:bidi="ar-SA"/>
              </w:rPr>
              <w:t>Қызметтердің көрсету орны</w:t>
            </w:r>
          </w:p>
        </w:tc>
      </w:tr>
      <w:tr>
        <w:trPr>
          <w:trHeight w:val="155" w:hRule="atLeast"/>
        </w:trPr>
        <w:tc>
          <w:tcPr>
            <w:tcW w:w="56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1</w:t>
            </w:r>
          </w:p>
        </w:tc>
        <w:tc>
          <w:tcPr>
            <w:tcW w:w="241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2</w:t>
            </w:r>
          </w:p>
        </w:tc>
        <w:tc>
          <w:tcPr>
            <w:tcW w:w="864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3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4</w:t>
            </w:r>
          </w:p>
        </w:tc>
      </w:tr>
      <w:tr>
        <w:trPr>
          <w:trHeight w:val="1142" w:hRule="atLeast"/>
        </w:trPr>
        <w:tc>
          <w:tcPr>
            <w:tcW w:w="566" w:type="dxa"/>
            <w:tcBorders>
              <w:top w:val="single" w:sz="6" w:space="0" w:color="000000"/>
              <w:start w:val="single" w:sz="6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" w:hAnsi="Times New Roman" w:cs="Times New Roman"/>
                <w:sz w:val="24"/>
                <w:szCs w:val="24"/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</w:r>
          </w:p>
        </w:tc>
        <w:tc>
          <w:tcPr>
            <w:tcW w:w="2416" w:type="dxa"/>
            <w:tcBorders>
              <w:top w:val="single" w:sz="6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lang w:val="kk-KZ" w:eastAsia="zh-CN" w:bidi="ar-SA"/>
              </w:rPr>
            </w:pPr>
            <w:r>
              <w:rPr>
                <w:lang w:val="kk-KZ" w:eastAsia="zh-CN" w:bidi="ar-SA"/>
              </w:rPr>
              <w:t>Жууға/тазартуға арналған жабдықтарды жөндеу/жаңғырту бойынша жұмыстар</w:t>
            </w:r>
          </w:p>
        </w:tc>
        <w:tc>
          <w:tcPr>
            <w:tcW w:w="8642" w:type="dxa"/>
            <w:tcBorders>
              <w:top w:val="single" w:sz="6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Кір жуғыш машинаны ағымдағы жөндеу жұмыстары.</w:t>
            </w:r>
          </w:p>
          <w:p>
            <w:pPr>
              <w:pStyle w:val="Normal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Жұмыс құнына қосалқы бөлшектерді сатып алу және орнату кіреді. Өнім беруші қосалқы бөлшектерді жаңаларына ауыстыра отырып, келесі жұмыстарды орындайды:</w:t>
            </w:r>
          </w:p>
          <w:p>
            <w:pPr>
              <w:pStyle w:val="Normal"/>
              <w:numPr>
                <w:ilvl w:val="0"/>
                <w:numId w:val="5"/>
              </w:numPr>
              <w:rPr/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бөлшектеу;</w:t>
            </w:r>
          </w:p>
          <w:p>
            <w:pPr>
              <w:pStyle w:val="Normal"/>
              <w:numPr>
                <w:ilvl w:val="0"/>
                <w:numId w:val="5"/>
              </w:numPr>
              <w:rPr/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су қыздырғыш элементін (ТЭН) ауыстыру – 1 жиынтық;</w:t>
            </w:r>
          </w:p>
          <w:p>
            <w:pPr>
              <w:pStyle w:val="Normal"/>
              <w:numPr>
                <w:ilvl w:val="0"/>
                <w:numId w:val="5"/>
              </w:numPr>
              <w:rPr/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белдіктерді ауыстыру – 2 дана;</w:t>
            </w:r>
          </w:p>
          <w:p>
            <w:pPr>
              <w:pStyle w:val="Normal"/>
              <w:numPr>
                <w:ilvl w:val="0"/>
                <w:numId w:val="5"/>
              </w:numPr>
              <w:rPr/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іске қосқышты ауыстыру – 1 дана;</w:t>
            </w:r>
          </w:p>
          <w:p>
            <w:pPr>
              <w:pStyle w:val="Normal"/>
              <w:numPr>
                <w:ilvl w:val="0"/>
                <w:numId w:val="5"/>
              </w:numPr>
              <w:rPr/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су деңгейінің датчигін ауыстыру – 1 дана;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монтаждау, іске қосу-баптау жұмыстары.</w:t>
            </w:r>
          </w:p>
          <w:p>
            <w:pPr>
              <w:pStyle w:val="Normal"/>
              <w:rPr>
                <w:lang w:val="kk-KZ" w:eastAsia="zh-CN" w:bidi="ar-SA"/>
              </w:rPr>
            </w:pPr>
            <w:r>
              <w:rPr>
                <w:rFonts w:cs="Times New Roman"/>
                <w:sz w:val="24"/>
                <w:szCs w:val="24"/>
                <w:lang w:val="kk-KZ" w:eastAsia="zh-CN" w:bidi="ar-SA"/>
              </w:rPr>
              <w:t>Өнім беруші орындалған жұмыстарға кемінде 12 ай кепілдік береді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HTML1"/>
              <w:rPr>
                <w:lang w:val="kk-KZ" w:eastAsia="zh-CN" w:bidi="ar-S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kk-KZ" w:eastAsia="zh-CN" w:bidi="ar-SA"/>
              </w:rPr>
              <w:t>Қостанай облысы Рудный қ, парк к-сі, 45</w:t>
            </w:r>
          </w:p>
        </w:tc>
      </w:tr>
    </w:tbl>
    <w:p>
      <w:pPr>
        <w:pStyle w:val="Normal"/>
        <w:jc w:val="end"/>
        <w:rPr>
          <w:rFonts w:ascii="Times New Roman" w:hAnsi="Times New Roman" w:cs="Times New Roman"/>
          <w:i/>
          <w:i/>
          <w:sz w:val="24"/>
          <w:szCs w:val="24"/>
          <w:lang w:val="kk-KZ" w:eastAsia="zh-CN" w:bidi="ar-SA"/>
        </w:rPr>
      </w:pPr>
      <w:r>
        <w:rPr>
          <w:rFonts w:cs="Times New Roman"/>
          <w:i/>
          <w:sz w:val="24"/>
          <w:szCs w:val="24"/>
          <w:lang w:val="kk-KZ"/>
        </w:rPr>
      </w:r>
      <w:r>
        <w:br w:type="page"/>
      </w:r>
    </w:p>
    <w:p>
      <w:pPr>
        <w:pStyle w:val="Normal"/>
        <w:spacing w:before="0" w:after="0"/>
        <w:jc w:val="end"/>
        <w:rPr>
          <w:lang w:val="ru-RU" w:eastAsia="zh-CN" w:bidi="ar-SA"/>
        </w:rPr>
      </w:pPr>
      <w:r>
        <w:rPr>
          <w:rFonts w:cs="Times New Roman"/>
          <w:i/>
          <w:sz w:val="24"/>
          <w:szCs w:val="24"/>
          <w:lang w:val="ru-RU" w:eastAsia="zh-CN" w:bidi="ar-SA"/>
        </w:rPr>
        <w:t>Приложение 2 к Договору</w:t>
      </w:r>
    </w:p>
    <w:p>
      <w:pPr>
        <w:pStyle w:val="Normal"/>
        <w:jc w:val="end"/>
        <w:rPr>
          <w:lang w:val="ru-RU" w:eastAsia="zh-CN" w:bidi="ar-SA"/>
        </w:rPr>
      </w:pPr>
      <w:r>
        <w:rPr>
          <w:rFonts w:cs="Times New Roman"/>
          <w:i/>
          <w:sz w:val="24"/>
          <w:szCs w:val="24"/>
          <w:lang w:val="ru-RU" w:eastAsia="zh-CN" w:bidi="ar-SA"/>
        </w:rPr>
        <w:t>от «___» _______ 2026 года №</w:t>
      </w:r>
    </w:p>
    <w:p>
      <w:pPr>
        <w:pStyle w:val="Normal"/>
        <w:jc w:val="center"/>
        <w:rPr>
          <w:rFonts w:ascii="Times New Roman" w:hAnsi="Times New Roman" w:cs="Times New Roman"/>
          <w:b/>
          <w:i/>
          <w:i/>
          <w:sz w:val="24"/>
          <w:szCs w:val="24"/>
          <w:lang w:val="ru-RU" w:eastAsia="zh-CN" w:bidi="ar-SA"/>
        </w:rPr>
      </w:pPr>
      <w:r>
        <w:rPr>
          <w:rFonts w:cs="Times New Roman"/>
          <w:b/>
          <w:i/>
          <w:sz w:val="24"/>
          <w:szCs w:val="24"/>
          <w:lang w:val="ru-RU" w:eastAsia="zh-CN" w:bidi="ar-SA"/>
        </w:rPr>
      </w:r>
    </w:p>
    <w:p>
      <w:pPr>
        <w:pStyle w:val="Normal"/>
        <w:jc w:val="center"/>
        <w:rPr>
          <w:lang w:val="ru-RU" w:eastAsia="zh-CN" w:bidi="ar-SA"/>
        </w:rPr>
      </w:pPr>
      <w:r>
        <w:rPr>
          <w:rFonts w:cs="Times New Roman"/>
          <w:b/>
          <w:sz w:val="24"/>
          <w:szCs w:val="24"/>
          <w:lang w:val="ru-RU" w:eastAsia="zh-CN" w:bidi="ar-SA"/>
        </w:rPr>
        <w:t>Техническая спецификация оказанных услуг</w:t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  <w:lang w:val="ru-RU" w:eastAsia="zh-CN" w:bidi="ar-SA"/>
        </w:rPr>
      </w:pPr>
      <w:r>
        <w:rPr>
          <w:rFonts w:cs="Times New Roman"/>
          <w:b/>
          <w:sz w:val="24"/>
          <w:szCs w:val="24"/>
          <w:lang w:val="ru-RU" w:eastAsia="zh-CN" w:bidi="ar-SA"/>
        </w:rPr>
      </w:r>
    </w:p>
    <w:tbl>
      <w:tblPr>
        <w:tblW w:w="15026" w:type="dxa"/>
        <w:jc w:val="start"/>
        <w:tblInd w:w="-34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99"/>
        <w:gridCol w:w="2500"/>
        <w:gridCol w:w="8525"/>
        <w:gridCol w:w="3401"/>
      </w:tblGrid>
      <w:tr>
        <w:trPr>
          <w:trHeight w:val="100" w:hRule="atLeast"/>
        </w:trPr>
        <w:tc>
          <w:tcPr>
            <w:tcW w:w="59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ru-RU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ru-RU" w:eastAsia="zh-CN" w:bidi="ar-SA"/>
              </w:rPr>
              <w:t>№</w:t>
            </w:r>
          </w:p>
          <w:p>
            <w:pPr>
              <w:pStyle w:val="Normal"/>
              <w:jc w:val="center"/>
              <w:rPr>
                <w:lang w:val="ru-RU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ru-RU" w:eastAsia="zh-CN" w:bidi="ar-SA"/>
              </w:rPr>
              <w:t>п/п</w:t>
            </w:r>
          </w:p>
        </w:tc>
        <w:tc>
          <w:tcPr>
            <w:tcW w:w="250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ru-RU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ru-RU" w:eastAsia="zh-CN" w:bidi="ar-SA"/>
              </w:rPr>
              <w:t>Наименование услуг</w:t>
            </w:r>
          </w:p>
        </w:tc>
        <w:tc>
          <w:tcPr>
            <w:tcW w:w="8525" w:type="dxa"/>
            <w:tcBorders>
              <w:top w:val="single" w:sz="6" w:space="0" w:color="000000"/>
              <w:start w:val="single" w:sz="4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ru-RU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ru-RU" w:eastAsia="zh-CN" w:bidi="ar-SA"/>
              </w:rPr>
              <w:t>Техническая спецификация, характеристика услуг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lang w:val="ru-RU" w:eastAsia="zh-CN" w:bidi="ar-SA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ru-RU" w:eastAsia="zh-CN" w:bidi="ar-SA"/>
              </w:rPr>
              <w:t>Место оказания услуг</w:t>
            </w:r>
          </w:p>
        </w:tc>
      </w:tr>
      <w:tr>
        <w:trPr>
          <w:trHeight w:val="288" w:hRule="atLeast"/>
        </w:trPr>
        <w:tc>
          <w:tcPr>
            <w:tcW w:w="59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1</w:t>
            </w:r>
          </w:p>
        </w:tc>
        <w:tc>
          <w:tcPr>
            <w:tcW w:w="250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2</w:t>
            </w:r>
          </w:p>
        </w:tc>
        <w:tc>
          <w:tcPr>
            <w:tcW w:w="8525" w:type="dxa"/>
            <w:tcBorders>
              <w:top w:val="single" w:sz="6" w:space="0" w:color="000000"/>
              <w:start w:val="single" w:sz="4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3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4</w:t>
            </w:r>
          </w:p>
        </w:tc>
      </w:tr>
      <w:tr>
        <w:trPr>
          <w:trHeight w:val="1010" w:hRule="atLeast"/>
        </w:trPr>
        <w:tc>
          <w:tcPr>
            <w:tcW w:w="599" w:type="dxa"/>
            <w:tcBorders>
              <w:top w:val="single" w:sz="6" w:space="0" w:color="000000"/>
              <w:start w:val="single" w:sz="6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numPr>
                <w:ilvl w:val="0"/>
                <w:numId w:val="7"/>
              </w:numPr>
              <w:snapToGrid w:val="false"/>
              <w:rPr>
                <w:rFonts w:ascii="Times New Roman" w:hAnsi="Times New Roman" w:cs="Times New Roman"/>
                <w:sz w:val="24"/>
                <w:szCs w:val="24"/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</w:r>
          </w:p>
        </w:tc>
        <w:tc>
          <w:tcPr>
            <w:tcW w:w="2500" w:type="dxa"/>
            <w:tcBorders>
              <w:top w:val="single" w:sz="6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Работы по ремонту/модернизации оборудования для стирки/чистки</w:t>
            </w:r>
          </w:p>
        </w:tc>
        <w:tc>
          <w:tcPr>
            <w:tcW w:w="8525" w:type="dxa"/>
            <w:tcBorders>
              <w:top w:val="single" w:sz="6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Работа по текущему ремонту стиральной машины.</w:t>
            </w:r>
          </w:p>
          <w:p>
            <w:pPr>
              <w:pStyle w:val="Normal"/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В стоимость работы входит установка и приобретение запасных частей. Поставщик производит следующие работы с заменой запасных частей на новые: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демонтаж;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 xml:space="preserve">замена водяного ТЭНа – 1 </w:t>
            </w: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комплект</w:t>
            </w: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;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/>
              <w:t xml:space="preserve">замена ремней </w:t>
            </w: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 xml:space="preserve">– </w:t>
            </w:r>
            <w:r>
              <w:rPr/>
              <w:t>2 шт;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/>
              <w:t xml:space="preserve">замена пускателя </w:t>
            </w: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 xml:space="preserve">– </w:t>
            </w: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1</w:t>
            </w:r>
            <w:r>
              <w:rPr/>
              <w:t xml:space="preserve"> шт;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/>
              <w:t xml:space="preserve">замена датчика уровня воды </w:t>
            </w: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 xml:space="preserve">– </w:t>
            </w: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1</w:t>
            </w:r>
            <w:r>
              <w:rPr/>
              <w:t xml:space="preserve"> шт;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 xml:space="preserve">монтаж, </w:t>
            </w: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пусконаладочные работы.</w:t>
            </w:r>
          </w:p>
          <w:p>
            <w:pPr>
              <w:pStyle w:val="Normal"/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Поставщик предоставляет гарантию на оказанную работу – не менее 12 месяцев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lang w:val="ru-RU" w:eastAsia="zh-CN" w:bidi="ar-SA"/>
              </w:rPr>
            </w:pPr>
            <w:r>
              <w:rPr>
                <w:rFonts w:cs="Times New Roman"/>
                <w:sz w:val="24"/>
                <w:szCs w:val="24"/>
                <w:lang w:val="ru-RU" w:eastAsia="zh-CN" w:bidi="ar-SA"/>
              </w:rPr>
              <w:t>Костанайская область, г. Рудный, Парковая, 45</w:t>
            </w:r>
          </w:p>
        </w:tc>
      </w:tr>
    </w:tbl>
    <w:p>
      <w:pPr>
        <w:pStyle w:val="Normal"/>
        <w:jc w:val="end"/>
        <w:rPr>
          <w:rFonts w:ascii="Times New Roman" w:hAnsi="Times New Roman" w:cs="Times New Roman"/>
          <w:sz w:val="24"/>
          <w:szCs w:val="24"/>
          <w:lang w:val="ru-RU" w:eastAsia="zh-CN" w:bidi="ar-SA"/>
        </w:rPr>
      </w:pPr>
      <w:r>
        <w:rPr>
          <w:rFonts w:cs="Times New Roman"/>
          <w:sz w:val="24"/>
          <w:szCs w:val="24"/>
          <w:lang w:val="ru-RU" w:eastAsia="zh-CN" w:bidi="ar-SA"/>
        </w:rPr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418" w:right="678" w:gutter="0" w:header="709" w:top="868" w:footer="0" w:bottom="719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Cambria">
    <w:charset w:val="01"/>
    <w:family w:val="swiss"/>
    <w:pitch w:val="default"/>
  </w:font>
  <w:font w:name="Symbol">
    <w:charset w:val="01"/>
    <w:family w:val="swiss"/>
    <w:pitch w:val="default"/>
  </w:font>
  <w:font w:name="Tahoma">
    <w:charset w:val="01"/>
    <w:family w:val="swiss"/>
    <w:pitch w:val="default"/>
  </w:font>
  <w:font w:name="Courier New">
    <w:charset w:val="01"/>
    <w:family w:val="swiss"/>
    <w:pitch w:val="default"/>
  </w:font>
  <w:font w:name="OpenSymbol">
    <w:altName w:val="Arial Unicode MS"/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502"/>
        </w:tabs>
        <w:ind w:start="502" w:hanging="360"/>
      </w:pPr>
      <w:rPr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3">
    <w:lvl w:ilvl="0">
      <w:start w:val="1"/>
      <w:numFmt w:val="decimal"/>
      <w:lvlText w:val="%1)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)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)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)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)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)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)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)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)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502"/>
        </w:tabs>
        <w:ind w:start="502" w:hanging="360"/>
      </w:pPr>
      <w:rPr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decimal"/>
      <w:lvlText w:val="%1)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)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)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)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)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)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)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)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)"/>
      <w:lvlJc w:val="start"/>
      <w:pPr>
        <w:tabs>
          <w:tab w:val="num" w:pos="3600"/>
        </w:tabs>
        <w:ind w:start="3600" w:hanging="360"/>
      </w:pPr>
      <w:rPr/>
    </w:lvl>
  </w:abstractNum>
  <w:abstractNum w:abstractNumId="6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oto Serif CJK SC" w:cs="Lohit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lineRule="auto" w:line="276" w:before="480" w:after="0"/>
      <w:outlineLvl w:val="0"/>
    </w:pPr>
    <w:rPr>
      <w:rFonts w:ascii="Cambria" w:hAnsi="Cambria" w:cs="Cambria"/>
      <w:b/>
      <w:bCs/>
      <w:color w:val="365F91"/>
      <w:sz w:val="28"/>
      <w:szCs w:val="28"/>
      <w:lang w:val="ru-RU"/>
    </w:rPr>
  </w:style>
  <w:style w:type="character" w:styleId="WW8Num3z0">
    <w:name w:val="WW8Num3z0"/>
    <w:qFormat/>
    <w:rPr>
      <w:sz w:val="20"/>
      <w:szCs w:val="20"/>
    </w:rPr>
  </w:style>
  <w:style w:type="character" w:styleId="WW8Num2z0">
    <w:name w:val="WW8Num2z0"/>
    <w:qFormat/>
    <w:rPr/>
  </w:style>
  <w:style w:type="character" w:styleId="WW8Num2z1">
    <w:name w:val="WW8Num2z1"/>
    <w:qFormat/>
    <w:rPr>
      <w:b w:val="false"/>
    </w:rPr>
  </w:style>
  <w:style w:type="character" w:styleId="WW8Num3z1">
    <w:name w:val="WW8Num3z1"/>
    <w:qFormat/>
    <w:rPr>
      <w:b w:val="false"/>
    </w:rPr>
  </w:style>
  <w:style w:type="character" w:styleId="WW8Num8z0">
    <w:name w:val="WW8Num8z0"/>
    <w:qFormat/>
    <w:rPr>
      <w:b w:val="false"/>
    </w:rPr>
  </w:style>
  <w:style w:type="character" w:styleId="WW8Num9z0">
    <w:name w:val="WW8Num9z0"/>
    <w:qFormat/>
    <w:rPr>
      <w:strike w:val="false"/>
      <w:dstrike w:val="false"/>
    </w:rPr>
  </w:style>
  <w:style w:type="character" w:styleId="WW8Num9z1">
    <w:name w:val="WW8Num9z1"/>
    <w:qFormat/>
    <w:rPr>
      <w:b w:val="false"/>
    </w:rPr>
  </w:style>
  <w:style w:type="character" w:styleId="WW8Num13z0">
    <w:name w:val="WW8Num13z0"/>
    <w:qFormat/>
    <w:rPr/>
  </w:style>
  <w:style w:type="character" w:styleId="WW8Num13z1">
    <w:name w:val="WW8Num13z1"/>
    <w:qFormat/>
    <w:rPr>
      <w:b w:val="false"/>
    </w:rPr>
  </w:style>
  <w:style w:type="character" w:styleId="WW8Num18z0">
    <w:name w:val="WW8Num18z0"/>
    <w:qFormat/>
    <w:rPr/>
  </w:style>
  <w:style w:type="character" w:styleId="WW8Num20z0">
    <w:name w:val="WW8Num20z0"/>
    <w:qFormat/>
    <w:rPr>
      <w:strike w:val="false"/>
      <w:dstrike w:val="false"/>
    </w:rPr>
  </w:style>
  <w:style w:type="character" w:styleId="WW8Num20z1">
    <w:name w:val="WW8Num20z1"/>
    <w:qFormat/>
    <w:rPr>
      <w:b w:val="false"/>
    </w:rPr>
  </w:style>
  <w:style w:type="character" w:styleId="WW8Num22z0">
    <w:name w:val="WW8Num22z0"/>
    <w:qFormat/>
    <w:rPr/>
  </w:style>
  <w:style w:type="character" w:styleId="WW8Num22z1">
    <w:name w:val="WW8Num22z1"/>
    <w:qFormat/>
    <w:rPr>
      <w:b w:val="false"/>
    </w:rPr>
  </w:style>
  <w:style w:type="character" w:styleId="WW8Num27z0">
    <w:name w:val="WW8Num27z0"/>
    <w:qFormat/>
    <w:rPr>
      <w:strike w:val="false"/>
      <w:dstrike w:val="false"/>
    </w:rPr>
  </w:style>
  <w:style w:type="character" w:styleId="WW8Num27z1">
    <w:name w:val="WW8Num27z1"/>
    <w:qFormat/>
    <w:rPr/>
  </w:style>
  <w:style w:type="character" w:styleId="WW8Num28z0">
    <w:name w:val="WW8Num28z0"/>
    <w:qFormat/>
    <w:rPr/>
  </w:style>
  <w:style w:type="character" w:styleId="WW8Num34z0">
    <w:name w:val="WW8Num34z0"/>
    <w:qFormat/>
    <w:rPr/>
  </w:style>
  <w:style w:type="character" w:styleId="WW8Num36z0">
    <w:name w:val="WW8Num36z0"/>
    <w:qFormat/>
    <w:rPr>
      <w:strike w:val="false"/>
      <w:dstrike w:val="false"/>
    </w:rPr>
  </w:style>
  <w:style w:type="character" w:styleId="WW8Num36z1">
    <w:name w:val="WW8Num36z1"/>
    <w:qFormat/>
    <w:rPr>
      <w:b w:val="false"/>
    </w:rPr>
  </w:style>
  <w:style w:type="character" w:styleId="WW8Num37z0">
    <w:name w:val="WW8Num37z0"/>
    <w:qFormat/>
    <w:rPr>
      <w:sz w:val="20"/>
      <w:szCs w:val="20"/>
    </w:rPr>
  </w:style>
  <w:style w:type="character" w:styleId="WW8Num39z0">
    <w:name w:val="WW8Num39z0"/>
    <w:qFormat/>
    <w:rPr>
      <w:rFonts w:ascii="Symbol" w:hAnsi="Symbol" w:cs="Symbol"/>
    </w:rPr>
  </w:style>
  <w:style w:type="character" w:styleId="Style13">
    <w:name w:val="Основной шрифт абзаца"/>
    <w:qFormat/>
    <w:rPr/>
  </w:style>
  <w:style w:type="character" w:styleId="s0">
    <w:name w:val="s0"/>
    <w:qFormat/>
    <w:rPr>
      <w:rFonts w:ascii="Times New Roman" w:hAnsi="Times New Roman" w:cs="Times New Roman"/>
      <w:b w:val="false"/>
      <w:bCs w:val="false"/>
      <w:i w:val="false"/>
      <w:iCs w:val="false"/>
      <w:strike w:val="false"/>
      <w:dstrike w:val="false"/>
      <w:color w:val="800000"/>
      <w:sz w:val="32"/>
      <w:szCs w:val="32"/>
      <w:u w:val="none"/>
    </w:rPr>
  </w:style>
  <w:style w:type="character" w:styleId="Strong">
    <w:name w:val="Strong"/>
    <w:qFormat/>
    <w:rPr>
      <w:b/>
      <w:bCs/>
    </w:rPr>
  </w:style>
  <w:style w:type="character" w:styleId="style22">
    <w:name w:val="style22 Знак"/>
    <w:qFormat/>
    <w:rPr>
      <w:rFonts w:ascii="Tahoma" w:hAnsi="Tahoma" w:cs="Tahoma"/>
      <w:sz w:val="18"/>
      <w:szCs w:val="18"/>
      <w:lang w:val="ru-RU" w:bidi="ar-SA"/>
    </w:rPr>
  </w:style>
  <w:style w:type="character" w:styleId="s1">
    <w:name w:val="s1"/>
    <w:qFormat/>
    <w:rPr>
      <w:rFonts w:ascii="Times New Roman" w:hAnsi="Times New Roman" w:cs="Times New Roman"/>
      <w:b/>
      <w:bCs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Style14">
    <w:name w:val="Текст выноски Знак"/>
    <w:qFormat/>
    <w:rPr>
      <w:rFonts w:ascii="Tahoma" w:hAnsi="Tahoma" w:cs="Tahoma"/>
      <w:sz w:val="16"/>
      <w:szCs w:val="16"/>
      <w:lang w:val="ru-RU" w:bidi="ar-SA"/>
    </w:rPr>
  </w:style>
  <w:style w:type="character" w:styleId="Hyperlink">
    <w:name w:val="Hyperlink"/>
    <w:rPr>
      <w:rFonts w:ascii="Times New Roman" w:hAnsi="Times New Roman" w:cs="Times New Roman"/>
      <w:color w:val="333399"/>
      <w:u w:val="single"/>
    </w:rPr>
  </w:style>
  <w:style w:type="character" w:styleId="Style15">
    <w:name w:val="Верхний колонтитул Знак"/>
    <w:qFormat/>
    <w:rPr>
      <w:rFonts w:eastAsia="SimSun;宋体"/>
      <w:sz w:val="24"/>
      <w:szCs w:val="24"/>
      <w:lang w:val="ru-RU" w:eastAsia="zh-CN" w:bidi="ar-SA"/>
    </w:rPr>
  </w:style>
  <w:style w:type="character" w:styleId="PageNumber">
    <w:name w:val="Page Number"/>
    <w:basedOn w:val="Style13"/>
    <w:rPr/>
  </w:style>
  <w:style w:type="character" w:styleId="Style16">
    <w:name w:val="Нижний колонтитул Знак"/>
    <w:qFormat/>
    <w:rPr>
      <w:rFonts w:eastAsia="SimSun;宋体"/>
      <w:sz w:val="24"/>
      <w:szCs w:val="24"/>
      <w:lang w:val="ru-RU" w:eastAsia="zh-CN" w:bidi="ar-SA"/>
    </w:rPr>
  </w:style>
  <w:style w:type="character" w:styleId="sectext">
    <w:name w:val="sectext"/>
    <w:basedOn w:val="Style13"/>
    <w:qFormat/>
    <w:rPr/>
  </w:style>
  <w:style w:type="character" w:styleId="igdictionarysample">
    <w:name w:val="ig_dictionary_sample"/>
    <w:basedOn w:val="Style13"/>
    <w:qFormat/>
    <w:rPr/>
  </w:style>
  <w:style w:type="character" w:styleId="apple-converted-space">
    <w:name w:val="apple-converted-space"/>
    <w:basedOn w:val="Style13"/>
    <w:qFormat/>
    <w:rPr/>
  </w:style>
  <w:style w:type="character" w:styleId="1">
    <w:name w:val="Заголовок 1 Знак"/>
    <w:qFormat/>
    <w:rPr>
      <w:rFonts w:ascii="Cambria" w:hAnsi="Cambria" w:cs="Cambria"/>
      <w:b/>
      <w:bCs/>
      <w:color w:val="365F91"/>
      <w:sz w:val="28"/>
      <w:szCs w:val="28"/>
    </w:rPr>
  </w:style>
  <w:style w:type="character" w:styleId="HTML">
    <w:name w:val="Стандартный HTML Знак"/>
    <w:qFormat/>
    <w:rPr>
      <w:rFonts w:ascii="Courier New" w:hAnsi="Courier New" w:cs="Courier New"/>
    </w:rPr>
  </w:style>
  <w:style w:type="character" w:styleId="Style17">
    <w:name w:val="Символ нумерации"/>
    <w:qFormat/>
    <w:rPr/>
  </w:style>
  <w:style w:type="character" w:styleId="Style18">
    <w:name w:val="Маркеры"/>
    <w:qFormat/>
    <w:rPr>
      <w:rFonts w:ascii="OpenSymbol" w:hAnsi="OpenSymbol" w:eastAsia="OpenSymbol" w:cs="OpenSymbol"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Calibri" w:hAnsi="Calibri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Calibri" w:hAnsi="Calibri"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Calibri" w:hAnsi="Calibri"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Style21">
    <w:name w:val="Знак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Style23">
    <w:name w:val="Обычный (веб)"/>
    <w:basedOn w:val="Normal"/>
    <w:qFormat/>
    <w:pPr>
      <w:spacing w:before="280" w:after="280"/>
    </w:pPr>
    <w:rPr/>
  </w:style>
  <w:style w:type="paragraph" w:styleId="style221">
    <w:name w:val="style22"/>
    <w:basedOn w:val="Normal"/>
    <w:qFormat/>
    <w:pPr>
      <w:spacing w:before="280" w:after="280"/>
    </w:pPr>
    <w:rPr>
      <w:rFonts w:ascii="Tahoma" w:hAnsi="Tahoma" w:cs="Tahoma"/>
      <w:sz w:val="18"/>
      <w:szCs w:val="18"/>
    </w:rPr>
  </w:style>
  <w:style w:type="paragraph" w:styleId="Style2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2">
    <w:name w:val="Знак2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WW-">
    <w:name w:val="WW-Знак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Style25">
    <w:name w:val="Знак Знак Знак Знак Знак Знак Знак Знак Знак Знак Знак Знак Знак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Style26">
    <w:name w:val="мад"/>
    <w:basedOn w:val="Normal"/>
    <w:qFormat/>
    <w:pPr>
      <w:widowControl w:val="false"/>
      <w:shd w:val="clear" w:fill="FFFFFF"/>
    </w:pPr>
    <w:rPr>
      <w:color w:val="000000"/>
    </w:rPr>
  </w:style>
  <w:style w:type="paragraph" w:styleId="Style27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/>
    <w:rPr>
      <w:rFonts w:eastAsia="SimSun;宋体"/>
      <w:lang w:eastAsia="zh-CN"/>
    </w:rPr>
  </w:style>
  <w:style w:type="paragraph" w:styleId="Footer">
    <w:name w:val="Footer"/>
    <w:basedOn w:val="Normal"/>
    <w:pPr/>
    <w:rPr>
      <w:rFonts w:eastAsia="SimSun;宋体"/>
      <w:lang w:eastAsia="zh-CN"/>
    </w:rPr>
  </w:style>
  <w:style w:type="paragraph" w:styleId="Style28">
    <w:name w:val="Без интервала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TML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Style29">
    <w:name w:val="Содержимое таблицы"/>
    <w:basedOn w:val="Normal"/>
    <w:qFormat/>
    <w:pPr>
      <w:widowControl w:val="false"/>
      <w:suppressLineNumbers/>
    </w:pPr>
    <w:rPr/>
  </w:style>
  <w:style w:type="paragraph" w:styleId="Style30">
    <w:name w:val="Заголовок таблицы"/>
    <w:basedOn w:val="Style29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73</TotalTime>
  <Application>LibreOffice/24.2.7.2$Linux_X86_64 LibreOffice_project/420$Build-2</Application>
  <AppVersion>15.0000</AppVersion>
  <Pages>2</Pages>
  <Words>214</Words>
  <Characters>1319</Characters>
  <CharactersWithSpaces>1481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2024-01-10T09:42:00Z</dcterms:created>
  <dc:creator>Ermek_U</dc:creator>
  <dc:description/>
  <dc:language>ru-RU</dc:language>
  <cp:lastModifiedBy/>
  <cp:lastPrinted>2014-06-14T10:20:00Z</cp:lastPrinted>
  <dcterms:modified xsi:type="dcterms:W3CDTF">2026-10-15T09:36:20Z</dcterms:modified>
  <cp:revision>58</cp:revision>
  <dc:subject/>
  <dc:title>Договор № ____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