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A05" w:rsidRPr="003E40B1" w:rsidRDefault="00BA00F0" w:rsidP="003E40B1">
      <w:pPr>
        <w:jc w:val="center"/>
        <w:rPr>
          <w:rFonts w:ascii="Times New Roman" w:hAnsi="Times New Roman" w:cs="Times New Roman"/>
          <w:b/>
          <w:sz w:val="28"/>
          <w:szCs w:val="28"/>
          <w:lang w:val="kk-KZ"/>
        </w:rPr>
      </w:pPr>
      <w:bookmarkStart w:id="0" w:name="_GoBack"/>
      <w:bookmarkEnd w:id="0"/>
      <w:r w:rsidRPr="003E40B1">
        <w:rPr>
          <w:rFonts w:ascii="Times New Roman" w:hAnsi="Times New Roman" w:cs="Times New Roman"/>
          <w:b/>
          <w:sz w:val="28"/>
          <w:szCs w:val="28"/>
          <w:lang w:val="kk-KZ"/>
        </w:rPr>
        <w:t>Техническая  характеристика</w:t>
      </w:r>
    </w:p>
    <w:p w:rsidR="008E4A05" w:rsidRPr="00E43A67" w:rsidRDefault="008E4A05" w:rsidP="008E4A05">
      <w:pPr>
        <w:jc w:val="right"/>
        <w:rPr>
          <w:rFonts w:ascii="Times New Roman" w:hAnsi="Times New Roman" w:cs="Times New Roman"/>
          <w:i/>
          <w:sz w:val="24"/>
          <w:szCs w:val="28"/>
          <w:lang w:val="kk-KZ"/>
        </w:rPr>
      </w:pPr>
    </w:p>
    <w:p w:rsidR="00E43A67" w:rsidRPr="003E40B1" w:rsidRDefault="00E43A67" w:rsidP="00C26EDD">
      <w:pPr>
        <w:jc w:val="both"/>
        <w:rPr>
          <w:rFonts w:ascii="Times New Roman" w:hAnsi="Times New Roman" w:cs="Times New Roman"/>
          <w:sz w:val="28"/>
          <w:szCs w:val="28"/>
        </w:rPr>
      </w:pPr>
      <w:r w:rsidRPr="003E40B1">
        <w:rPr>
          <w:rFonts w:ascii="Times New Roman" w:hAnsi="Times New Roman" w:cs="Times New Roman"/>
          <w:sz w:val="28"/>
          <w:szCs w:val="28"/>
        </w:rPr>
        <w:t xml:space="preserve">Квантифероновый тест – это инновационный тест для </w:t>
      </w:r>
      <w:r w:rsidR="00791A03">
        <w:rPr>
          <w:rFonts w:ascii="Times New Roman" w:hAnsi="Times New Roman" w:cs="Times New Roman"/>
          <w:sz w:val="28"/>
          <w:szCs w:val="28"/>
        </w:rPr>
        <w:t xml:space="preserve"> </w:t>
      </w:r>
      <w:r w:rsidRPr="003E40B1">
        <w:rPr>
          <w:rFonts w:ascii="Times New Roman" w:hAnsi="Times New Roman" w:cs="Times New Roman"/>
          <w:sz w:val="28"/>
          <w:szCs w:val="28"/>
        </w:rPr>
        <w:t>in vitro диагностики латентной туберкулезной инфекции. В основе Квантиферонового теста используется оценка T-клеточного иммунного ответа у человека.</w:t>
      </w:r>
    </w:p>
    <w:p w:rsidR="00E43A67" w:rsidRPr="003E40B1" w:rsidRDefault="00E43A67" w:rsidP="00C26EDD">
      <w:pPr>
        <w:jc w:val="both"/>
        <w:rPr>
          <w:rFonts w:ascii="Times New Roman" w:hAnsi="Times New Roman" w:cs="Times New Roman"/>
          <w:sz w:val="28"/>
          <w:szCs w:val="28"/>
        </w:rPr>
      </w:pPr>
      <w:r w:rsidRPr="003E40B1">
        <w:rPr>
          <w:rFonts w:ascii="Times New Roman" w:hAnsi="Times New Roman" w:cs="Times New Roman"/>
          <w:sz w:val="28"/>
          <w:szCs w:val="28"/>
        </w:rPr>
        <w:t>Квантифероновый тест обладает рядом существенных преимуществ перед кожными пробами. В многочисленных исследованиях была доказана его высокая диагностическая информативность, что позволяет проводить диагностику туберкулезной инфекции на качественно новом уровне. Для проведения теста не требуется введения провоцирующих веществ, достаточно одного взятия венозной крови.</w:t>
      </w:r>
    </w:p>
    <w:p w:rsidR="00E43A67" w:rsidRPr="003E40B1" w:rsidRDefault="00E43A67" w:rsidP="00C26EDD">
      <w:pPr>
        <w:jc w:val="both"/>
        <w:rPr>
          <w:rFonts w:ascii="Times New Roman" w:hAnsi="Times New Roman" w:cs="Times New Roman"/>
          <w:sz w:val="28"/>
          <w:szCs w:val="28"/>
        </w:rPr>
      </w:pPr>
      <w:r w:rsidRPr="003E40B1">
        <w:rPr>
          <w:rFonts w:ascii="Times New Roman" w:hAnsi="Times New Roman" w:cs="Times New Roman"/>
          <w:sz w:val="28"/>
          <w:szCs w:val="28"/>
        </w:rPr>
        <w:t>QuantiFERON ®-TB Gold является тестом, основанным на методе IGRA (interferongamma release assay). Метод IGRA основан на определении клеточного ответа T-лимфоцитов на антигены возбудителя. При клеточном ответе происходит выделение интерферона-гамма, уровень которого свидетельствует о наличии или отсутствии инфекции в организме. Для стимулирования клеточного ответа используется смесь рекомбинантных белков ESAT-6, CFP-10 и TB7.7, не содержащихся в БЦЖ. Поэтому тест QuantiFERON-TB Gold не вызывает иммунных реакций, связанных с вакцинацией БЦЖ.</w:t>
      </w:r>
    </w:p>
    <w:p w:rsidR="00E43A67" w:rsidRPr="003E40B1" w:rsidRDefault="00E43A67" w:rsidP="00C26EDD">
      <w:pPr>
        <w:jc w:val="both"/>
        <w:rPr>
          <w:rFonts w:ascii="Times New Roman" w:hAnsi="Times New Roman" w:cs="Times New Roman"/>
          <w:sz w:val="28"/>
          <w:szCs w:val="28"/>
        </w:rPr>
      </w:pPr>
      <w:r w:rsidRPr="003E40B1">
        <w:rPr>
          <w:rFonts w:ascii="Times New Roman" w:hAnsi="Times New Roman" w:cs="Times New Roman"/>
          <w:sz w:val="28"/>
          <w:szCs w:val="28"/>
        </w:rPr>
        <w:t>Квантифероновый тест может использоваться при проведении скрининга среди пациентов, относящихся к группам риска по развитию туберкулезной инфекции, а также в качестве дополнительного диагностического метода при обследовании пациентов с подозрением на развитие активной формы заболевания.</w:t>
      </w:r>
    </w:p>
    <w:p w:rsidR="008E4A05" w:rsidRPr="003E40B1" w:rsidRDefault="008E4A05" w:rsidP="00C26EDD">
      <w:pPr>
        <w:jc w:val="both"/>
        <w:rPr>
          <w:rFonts w:ascii="Times New Roman" w:hAnsi="Times New Roman" w:cs="Times New Roman"/>
          <w:i/>
          <w:sz w:val="28"/>
          <w:szCs w:val="28"/>
        </w:rPr>
      </w:pPr>
    </w:p>
    <w:p w:rsidR="00BA00F0" w:rsidRDefault="00E43A67" w:rsidP="00C26EDD">
      <w:pPr>
        <w:tabs>
          <w:tab w:val="left" w:pos="486"/>
        </w:tabs>
        <w:jc w:val="both"/>
        <w:rPr>
          <w:rFonts w:ascii="Times New Roman" w:hAnsi="Times New Roman" w:cs="Times New Roman"/>
          <w:i/>
          <w:sz w:val="28"/>
          <w:szCs w:val="28"/>
        </w:rPr>
      </w:pPr>
      <w:r w:rsidRPr="003E40B1">
        <w:rPr>
          <w:rFonts w:ascii="Times New Roman" w:hAnsi="Times New Roman" w:cs="Times New Roman"/>
          <w:i/>
          <w:sz w:val="28"/>
          <w:szCs w:val="28"/>
        </w:rPr>
        <w:tab/>
        <w:t xml:space="preserve">Клиническая чувствительность </w:t>
      </w:r>
      <w:r w:rsidR="00BA00F0" w:rsidRPr="003E40B1">
        <w:rPr>
          <w:rFonts w:ascii="Times New Roman" w:hAnsi="Times New Roman" w:cs="Times New Roman"/>
          <w:i/>
          <w:sz w:val="28"/>
          <w:szCs w:val="28"/>
        </w:rPr>
        <w:t>метода составляет - 80,2%, специфичность – 98,1%, общая конкордантность – 95,9%  и процент совпадения положительных результатов – 97,3%.</w:t>
      </w:r>
    </w:p>
    <w:p w:rsidR="00C26EDD" w:rsidRPr="00C26EDD" w:rsidRDefault="00C26EDD" w:rsidP="00E43A67">
      <w:pPr>
        <w:tabs>
          <w:tab w:val="left" w:pos="486"/>
        </w:tabs>
        <w:rPr>
          <w:rFonts w:ascii="Times New Roman" w:hAnsi="Times New Roman" w:cs="Times New Roman"/>
          <w:sz w:val="28"/>
          <w:szCs w:val="28"/>
        </w:rPr>
      </w:pPr>
    </w:p>
    <w:p w:rsidR="00C26EDD" w:rsidRPr="00C26EDD" w:rsidRDefault="00C26EDD" w:rsidP="00E43A67">
      <w:pPr>
        <w:tabs>
          <w:tab w:val="left" w:pos="486"/>
        </w:tabs>
        <w:rPr>
          <w:rFonts w:ascii="Times New Roman" w:hAnsi="Times New Roman" w:cs="Times New Roman"/>
          <w:sz w:val="28"/>
          <w:szCs w:val="28"/>
        </w:rPr>
      </w:pPr>
      <w:r w:rsidRPr="00C26EDD">
        <w:rPr>
          <w:rStyle w:val="anegp0gi0b9av8jahpyh"/>
          <w:rFonts w:ascii="Times New Roman" w:hAnsi="Times New Roman" w:cs="Times New Roman"/>
          <w:sz w:val="28"/>
          <w:szCs w:val="28"/>
        </w:rPr>
        <w:t>Лаборатория</w:t>
      </w:r>
      <w:r w:rsidRPr="00C26EDD">
        <w:rPr>
          <w:rFonts w:ascii="Times New Roman" w:hAnsi="Times New Roman" w:cs="Times New Roman"/>
          <w:sz w:val="28"/>
          <w:szCs w:val="28"/>
        </w:rPr>
        <w:t xml:space="preserve"> </w:t>
      </w:r>
      <w:r w:rsidRPr="00C26EDD">
        <w:rPr>
          <w:rStyle w:val="anegp0gi0b9av8jahpyh"/>
          <w:rFonts w:ascii="Times New Roman" w:hAnsi="Times New Roman" w:cs="Times New Roman"/>
          <w:sz w:val="28"/>
          <w:szCs w:val="28"/>
        </w:rPr>
        <w:t>должна</w:t>
      </w:r>
      <w:r w:rsidRPr="00C26EDD">
        <w:rPr>
          <w:rFonts w:ascii="Times New Roman" w:hAnsi="Times New Roman" w:cs="Times New Roman"/>
          <w:sz w:val="28"/>
          <w:szCs w:val="28"/>
        </w:rPr>
        <w:t xml:space="preserve"> </w:t>
      </w:r>
      <w:r w:rsidRPr="00C26EDD">
        <w:rPr>
          <w:rStyle w:val="anegp0gi0b9av8jahpyh"/>
          <w:rFonts w:ascii="Times New Roman" w:hAnsi="Times New Roman" w:cs="Times New Roman"/>
          <w:sz w:val="28"/>
          <w:szCs w:val="28"/>
        </w:rPr>
        <w:t>располагаться</w:t>
      </w:r>
      <w:r w:rsidRPr="00C26EDD">
        <w:rPr>
          <w:rFonts w:ascii="Times New Roman" w:hAnsi="Times New Roman" w:cs="Times New Roman"/>
          <w:sz w:val="28"/>
          <w:szCs w:val="28"/>
        </w:rPr>
        <w:t xml:space="preserve"> в </w:t>
      </w:r>
      <w:r w:rsidRPr="00C26EDD">
        <w:rPr>
          <w:rStyle w:val="anegp0gi0b9av8jahpyh"/>
          <w:rFonts w:ascii="Times New Roman" w:hAnsi="Times New Roman" w:cs="Times New Roman"/>
          <w:sz w:val="28"/>
          <w:szCs w:val="28"/>
        </w:rPr>
        <w:t>городе</w:t>
      </w:r>
      <w:r w:rsidRPr="00C26EDD">
        <w:rPr>
          <w:rFonts w:ascii="Times New Roman" w:hAnsi="Times New Roman" w:cs="Times New Roman"/>
          <w:sz w:val="28"/>
          <w:szCs w:val="28"/>
        </w:rPr>
        <w:t xml:space="preserve"> </w:t>
      </w:r>
      <w:r w:rsidRPr="00C26EDD">
        <w:rPr>
          <w:rStyle w:val="anegp0gi0b9av8jahpyh"/>
          <w:rFonts w:ascii="Times New Roman" w:hAnsi="Times New Roman" w:cs="Times New Roman"/>
          <w:sz w:val="28"/>
          <w:szCs w:val="28"/>
        </w:rPr>
        <w:t>Кызылорда.</w:t>
      </w:r>
    </w:p>
    <w:p w:rsidR="008E4A05" w:rsidRPr="00E43A67" w:rsidRDefault="008E4A05" w:rsidP="008E4A05">
      <w:pPr>
        <w:jc w:val="right"/>
        <w:rPr>
          <w:rFonts w:ascii="Times New Roman" w:hAnsi="Times New Roman" w:cs="Times New Roman"/>
          <w:i/>
          <w:sz w:val="24"/>
          <w:szCs w:val="28"/>
        </w:rPr>
      </w:pPr>
    </w:p>
    <w:p w:rsidR="008E4A05" w:rsidRPr="00E43A67" w:rsidRDefault="008E4A05" w:rsidP="003E40B1">
      <w:pPr>
        <w:rPr>
          <w:rFonts w:ascii="Times New Roman" w:hAnsi="Times New Roman" w:cs="Times New Roman"/>
          <w:i/>
          <w:sz w:val="24"/>
          <w:szCs w:val="28"/>
        </w:rPr>
      </w:pPr>
    </w:p>
    <w:p w:rsidR="008E4A05" w:rsidRPr="00E43A67" w:rsidRDefault="008E4A05" w:rsidP="008E4A05">
      <w:pPr>
        <w:jc w:val="right"/>
        <w:rPr>
          <w:rFonts w:ascii="Times New Roman" w:hAnsi="Times New Roman" w:cs="Times New Roman"/>
          <w:i/>
          <w:sz w:val="24"/>
          <w:szCs w:val="28"/>
        </w:rPr>
      </w:pPr>
    </w:p>
    <w:p w:rsidR="008E4A05" w:rsidRPr="00E43A67" w:rsidRDefault="008E4A05" w:rsidP="008E4A05">
      <w:pPr>
        <w:jc w:val="right"/>
        <w:rPr>
          <w:rFonts w:ascii="Times New Roman" w:hAnsi="Times New Roman" w:cs="Times New Roman"/>
          <w:i/>
          <w:sz w:val="24"/>
          <w:szCs w:val="28"/>
        </w:rPr>
      </w:pPr>
    </w:p>
    <w:p w:rsidR="008E4A05" w:rsidRPr="00E43A67" w:rsidRDefault="008E4A05" w:rsidP="008E4A05">
      <w:pPr>
        <w:jc w:val="right"/>
        <w:rPr>
          <w:rFonts w:ascii="Times New Roman" w:hAnsi="Times New Roman" w:cs="Times New Roman"/>
          <w:i/>
          <w:sz w:val="24"/>
          <w:szCs w:val="28"/>
        </w:rPr>
      </w:pPr>
    </w:p>
    <w:p w:rsidR="00C26EDD" w:rsidRPr="00FE053F" w:rsidRDefault="00C26EDD" w:rsidP="00C26EDD">
      <w:pPr>
        <w:jc w:val="center"/>
        <w:rPr>
          <w:rFonts w:ascii="Times New Roman" w:hAnsi="Times New Roman" w:cs="Times New Roman"/>
          <w:b/>
          <w:sz w:val="28"/>
          <w:szCs w:val="28"/>
        </w:rPr>
      </w:pPr>
      <w:r w:rsidRPr="00FE053F">
        <w:rPr>
          <w:rFonts w:ascii="Times New Roman" w:hAnsi="Times New Roman" w:cs="Times New Roman"/>
          <w:b/>
          <w:sz w:val="28"/>
          <w:szCs w:val="28"/>
        </w:rPr>
        <w:lastRenderedPageBreak/>
        <w:t>Техникалық сипаттамасы</w:t>
      </w:r>
    </w:p>
    <w:p w:rsidR="00C26EDD" w:rsidRPr="00C26EDD" w:rsidRDefault="00C26EDD" w:rsidP="00C26EDD">
      <w:pPr>
        <w:jc w:val="center"/>
        <w:rPr>
          <w:rFonts w:ascii="Times New Roman" w:hAnsi="Times New Roman" w:cs="Times New Roman"/>
          <w:i/>
          <w:sz w:val="24"/>
          <w:szCs w:val="28"/>
        </w:rPr>
      </w:pPr>
    </w:p>
    <w:p w:rsidR="00C26EDD" w:rsidRPr="00C26EDD" w:rsidRDefault="00C26EDD" w:rsidP="00C26EDD">
      <w:pPr>
        <w:jc w:val="both"/>
        <w:rPr>
          <w:rFonts w:ascii="Times New Roman" w:hAnsi="Times New Roman" w:cs="Times New Roman"/>
          <w:sz w:val="28"/>
          <w:szCs w:val="28"/>
        </w:rPr>
      </w:pPr>
      <w:r w:rsidRPr="00C26EDD">
        <w:rPr>
          <w:rFonts w:ascii="Times New Roman" w:hAnsi="Times New Roman" w:cs="Times New Roman"/>
          <w:sz w:val="28"/>
          <w:szCs w:val="28"/>
        </w:rPr>
        <w:t>Квантиферон сынағы-жасырын туберкулез инфекциясын in vitro диагностикалауға арналған инновациялық сынақ. Квантиферон сынағы адамның T-жасушалық иммундық реакциясын бағалауды пайдаланады.</w:t>
      </w:r>
    </w:p>
    <w:p w:rsidR="00C26EDD" w:rsidRPr="00C26EDD" w:rsidRDefault="00C26EDD" w:rsidP="00C26EDD">
      <w:pPr>
        <w:jc w:val="both"/>
        <w:rPr>
          <w:rFonts w:ascii="Times New Roman" w:hAnsi="Times New Roman" w:cs="Times New Roman"/>
          <w:sz w:val="28"/>
          <w:szCs w:val="28"/>
        </w:rPr>
      </w:pPr>
      <w:r w:rsidRPr="00C26EDD">
        <w:rPr>
          <w:rFonts w:ascii="Times New Roman" w:hAnsi="Times New Roman" w:cs="Times New Roman"/>
          <w:sz w:val="28"/>
          <w:szCs w:val="28"/>
        </w:rPr>
        <w:t>Квантиферон сынағы тері сынақтарына қарағанда бірқатар маңызды артықшылықтарға ие. Көптеген зерттеулерде оның жоғары диагностикалық ақпараттылығы дәлелденді, бұл туберкулез инфекциясын сапалы жаңа деңгейде диагностикалауға мүмкіндік береді. Тест жүргізу үшін арандатушы заттарды енгізу қажет емес, тек веноздық қанды алу жеткілікті.</w:t>
      </w:r>
    </w:p>
    <w:p w:rsidR="00C26EDD" w:rsidRPr="00C26EDD" w:rsidRDefault="00C26EDD" w:rsidP="00C26EDD">
      <w:pPr>
        <w:jc w:val="both"/>
        <w:rPr>
          <w:rFonts w:ascii="Times New Roman" w:hAnsi="Times New Roman" w:cs="Times New Roman"/>
          <w:sz w:val="28"/>
          <w:szCs w:val="28"/>
          <w:lang w:val="en-US"/>
        </w:rPr>
      </w:pPr>
      <w:r w:rsidRPr="00C26EDD">
        <w:rPr>
          <w:rFonts w:ascii="Times New Roman" w:hAnsi="Times New Roman" w:cs="Times New Roman"/>
          <w:sz w:val="28"/>
          <w:szCs w:val="28"/>
          <w:lang w:val="en-US"/>
        </w:rPr>
        <w:t>QuantiFERON ® - TB Gold-</w:t>
      </w:r>
      <w:r w:rsidRPr="00C26EDD">
        <w:rPr>
          <w:rFonts w:ascii="Times New Roman" w:hAnsi="Times New Roman" w:cs="Times New Roman"/>
          <w:sz w:val="28"/>
          <w:szCs w:val="28"/>
        </w:rPr>
        <w:t>бұл</w:t>
      </w:r>
      <w:r w:rsidRPr="00C26EDD">
        <w:rPr>
          <w:rFonts w:ascii="Times New Roman" w:hAnsi="Times New Roman" w:cs="Times New Roman"/>
          <w:sz w:val="28"/>
          <w:szCs w:val="28"/>
          <w:lang w:val="en-US"/>
        </w:rPr>
        <w:t xml:space="preserve"> IGRA (interferongamma Release assay) </w:t>
      </w:r>
      <w:r w:rsidRPr="00C26EDD">
        <w:rPr>
          <w:rFonts w:ascii="Times New Roman" w:hAnsi="Times New Roman" w:cs="Times New Roman"/>
          <w:sz w:val="28"/>
          <w:szCs w:val="28"/>
        </w:rPr>
        <w:t>әдісіне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негізделген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тест</w:t>
      </w:r>
      <w:r w:rsidRPr="00C26EDD">
        <w:rPr>
          <w:rFonts w:ascii="Times New Roman" w:hAnsi="Times New Roman" w:cs="Times New Roman"/>
          <w:sz w:val="28"/>
          <w:szCs w:val="28"/>
          <w:lang w:val="en-US"/>
        </w:rPr>
        <w:t xml:space="preserve">. IGRA </w:t>
      </w:r>
      <w:r w:rsidRPr="00C26EDD">
        <w:rPr>
          <w:rFonts w:ascii="Times New Roman" w:hAnsi="Times New Roman" w:cs="Times New Roman"/>
          <w:sz w:val="28"/>
          <w:szCs w:val="28"/>
        </w:rPr>
        <w:t>әдісі</w:t>
      </w:r>
      <w:r w:rsidRPr="00C26EDD">
        <w:rPr>
          <w:rFonts w:ascii="Times New Roman" w:hAnsi="Times New Roman" w:cs="Times New Roman"/>
          <w:sz w:val="28"/>
          <w:szCs w:val="28"/>
          <w:lang w:val="en-US"/>
        </w:rPr>
        <w:t xml:space="preserve"> T-</w:t>
      </w:r>
      <w:r w:rsidRPr="00C26EDD">
        <w:rPr>
          <w:rFonts w:ascii="Times New Roman" w:hAnsi="Times New Roman" w:cs="Times New Roman"/>
          <w:sz w:val="28"/>
          <w:szCs w:val="28"/>
        </w:rPr>
        <w:t>лимфоциттердің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патогендік</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антигендерге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жасушалық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реакциясын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анықтауға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негізделген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Жасушалық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реакцияда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интерферон</w:t>
      </w:r>
      <w:r w:rsidRPr="00C26EDD">
        <w:rPr>
          <w:rFonts w:ascii="Times New Roman" w:hAnsi="Times New Roman" w:cs="Times New Roman"/>
          <w:sz w:val="28"/>
          <w:szCs w:val="28"/>
          <w:lang w:val="en-US"/>
        </w:rPr>
        <w:t>-</w:t>
      </w:r>
      <w:r w:rsidRPr="00C26EDD">
        <w:rPr>
          <w:rFonts w:ascii="Times New Roman" w:hAnsi="Times New Roman" w:cs="Times New Roman"/>
          <w:sz w:val="28"/>
          <w:szCs w:val="28"/>
        </w:rPr>
        <w:t>гамма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бөлінеді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оның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деңгейі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организмде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инфекцияның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болуын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немесе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болмауын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көрсетеді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Жасушалық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реакцияны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ынталандыру</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үшін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БЦЖ</w:t>
      </w:r>
      <w:r w:rsidRPr="00C26EDD">
        <w:rPr>
          <w:rFonts w:ascii="Times New Roman" w:hAnsi="Times New Roman" w:cs="Times New Roman"/>
          <w:sz w:val="28"/>
          <w:szCs w:val="28"/>
          <w:lang w:val="en-US"/>
        </w:rPr>
        <w:t>-</w:t>
      </w:r>
      <w:r w:rsidRPr="00C26EDD">
        <w:rPr>
          <w:rFonts w:ascii="Times New Roman" w:hAnsi="Times New Roman" w:cs="Times New Roman"/>
          <w:sz w:val="28"/>
          <w:szCs w:val="28"/>
        </w:rPr>
        <w:t>да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жоқ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рекомбинантты</w:t>
      </w:r>
      <w:r w:rsidRPr="00C26EDD">
        <w:rPr>
          <w:rFonts w:ascii="Times New Roman" w:hAnsi="Times New Roman" w:cs="Times New Roman"/>
          <w:sz w:val="28"/>
          <w:szCs w:val="28"/>
          <w:lang w:val="en-US"/>
        </w:rPr>
        <w:t xml:space="preserve"> esat-6, CFP-10 </w:t>
      </w:r>
      <w:r w:rsidRPr="00C26EDD">
        <w:rPr>
          <w:rFonts w:ascii="Times New Roman" w:hAnsi="Times New Roman" w:cs="Times New Roman"/>
          <w:sz w:val="28"/>
          <w:szCs w:val="28"/>
        </w:rPr>
        <w:t>және</w:t>
      </w:r>
      <w:r w:rsidRPr="00C26EDD">
        <w:rPr>
          <w:rFonts w:ascii="Times New Roman" w:hAnsi="Times New Roman" w:cs="Times New Roman"/>
          <w:sz w:val="28"/>
          <w:szCs w:val="28"/>
          <w:lang w:val="en-US"/>
        </w:rPr>
        <w:t xml:space="preserve"> tb7.7 </w:t>
      </w:r>
      <w:r w:rsidRPr="00C26EDD">
        <w:rPr>
          <w:rFonts w:ascii="Times New Roman" w:hAnsi="Times New Roman" w:cs="Times New Roman"/>
          <w:sz w:val="28"/>
          <w:szCs w:val="28"/>
        </w:rPr>
        <w:t>ақуыздарының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қоспасы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қолданылады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Сондықтан</w:t>
      </w:r>
      <w:r w:rsidRPr="00C26EDD">
        <w:rPr>
          <w:rFonts w:ascii="Times New Roman" w:hAnsi="Times New Roman" w:cs="Times New Roman"/>
          <w:sz w:val="28"/>
          <w:szCs w:val="28"/>
          <w:lang w:val="en-US"/>
        </w:rPr>
        <w:t xml:space="preserve"> QuantiFERON-TB Gold </w:t>
      </w:r>
      <w:r w:rsidRPr="00C26EDD">
        <w:rPr>
          <w:rFonts w:ascii="Times New Roman" w:hAnsi="Times New Roman" w:cs="Times New Roman"/>
          <w:sz w:val="28"/>
          <w:szCs w:val="28"/>
        </w:rPr>
        <w:t>сынағы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БЦЖ</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вакцинациясымен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байланысты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иммундық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реакцияларды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тудырмайды</w:t>
      </w:r>
      <w:r w:rsidRPr="00C26EDD">
        <w:rPr>
          <w:rFonts w:ascii="Times New Roman" w:hAnsi="Times New Roman" w:cs="Times New Roman"/>
          <w:sz w:val="28"/>
          <w:szCs w:val="28"/>
          <w:lang w:val="en-US"/>
        </w:rPr>
        <w:t>.</w:t>
      </w:r>
    </w:p>
    <w:p w:rsidR="00C26EDD" w:rsidRPr="00C26EDD" w:rsidRDefault="00C26EDD" w:rsidP="00C26EDD">
      <w:pPr>
        <w:jc w:val="both"/>
        <w:rPr>
          <w:rFonts w:ascii="Times New Roman" w:hAnsi="Times New Roman" w:cs="Times New Roman"/>
          <w:sz w:val="28"/>
          <w:szCs w:val="28"/>
          <w:lang w:val="en-US"/>
        </w:rPr>
      </w:pPr>
      <w:r w:rsidRPr="00C26EDD">
        <w:rPr>
          <w:rFonts w:ascii="Times New Roman" w:hAnsi="Times New Roman" w:cs="Times New Roman"/>
          <w:sz w:val="28"/>
          <w:szCs w:val="28"/>
        </w:rPr>
        <w:t>Квантиферон</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сынағы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туберкулез</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инфекциясының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даму</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қаупі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бар</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пациенттер</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арасында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скрининг</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жүргізу</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кезінде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сондай</w:t>
      </w:r>
      <w:r w:rsidRPr="00C26EDD">
        <w:rPr>
          <w:rFonts w:ascii="Times New Roman" w:hAnsi="Times New Roman" w:cs="Times New Roman"/>
          <w:sz w:val="28"/>
          <w:szCs w:val="28"/>
          <w:lang w:val="en-US"/>
        </w:rPr>
        <w:t>-</w:t>
      </w:r>
      <w:r w:rsidRPr="00C26EDD">
        <w:rPr>
          <w:rFonts w:ascii="Times New Roman" w:hAnsi="Times New Roman" w:cs="Times New Roman"/>
          <w:sz w:val="28"/>
          <w:szCs w:val="28"/>
        </w:rPr>
        <w:t>ақ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аурудың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белсенді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түрінің</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дамуына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күдікті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пациенттерді</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тексеру</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кезінде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қосымша</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диагностикалық</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әдіс</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ретінде</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пайдаланылуы</w:t>
      </w:r>
      <w:r w:rsidRPr="00C26EDD">
        <w:rPr>
          <w:rFonts w:ascii="Times New Roman" w:hAnsi="Times New Roman" w:cs="Times New Roman"/>
          <w:sz w:val="28"/>
          <w:szCs w:val="28"/>
          <w:lang w:val="en-US"/>
        </w:rPr>
        <w:t xml:space="preserve"> </w:t>
      </w:r>
      <w:r w:rsidRPr="00C26EDD">
        <w:rPr>
          <w:rFonts w:ascii="Times New Roman" w:hAnsi="Times New Roman" w:cs="Times New Roman"/>
          <w:sz w:val="28"/>
          <w:szCs w:val="28"/>
        </w:rPr>
        <w:t>мүмкін</w:t>
      </w:r>
      <w:r w:rsidRPr="00C26EDD">
        <w:rPr>
          <w:rFonts w:ascii="Times New Roman" w:hAnsi="Times New Roman" w:cs="Times New Roman"/>
          <w:sz w:val="28"/>
          <w:szCs w:val="28"/>
          <w:lang w:val="en-US"/>
        </w:rPr>
        <w:t>.</w:t>
      </w:r>
    </w:p>
    <w:p w:rsidR="00C26EDD" w:rsidRPr="00C26EDD" w:rsidRDefault="00C26EDD" w:rsidP="00C26EDD">
      <w:pPr>
        <w:jc w:val="both"/>
        <w:rPr>
          <w:rFonts w:ascii="Times New Roman" w:hAnsi="Times New Roman" w:cs="Times New Roman"/>
          <w:sz w:val="28"/>
          <w:szCs w:val="28"/>
          <w:lang w:val="en-US"/>
        </w:rPr>
      </w:pPr>
    </w:p>
    <w:p w:rsidR="008E4A05" w:rsidRPr="00C26EDD" w:rsidRDefault="00C26EDD" w:rsidP="00C26EDD">
      <w:pPr>
        <w:jc w:val="both"/>
        <w:rPr>
          <w:rFonts w:ascii="Times New Roman" w:hAnsi="Times New Roman" w:cs="Times New Roman"/>
          <w:i/>
          <w:sz w:val="28"/>
          <w:szCs w:val="28"/>
        </w:rPr>
      </w:pPr>
      <w:r w:rsidRPr="00C26EDD">
        <w:rPr>
          <w:rFonts w:ascii="Times New Roman" w:hAnsi="Times New Roman" w:cs="Times New Roman"/>
          <w:sz w:val="28"/>
          <w:szCs w:val="28"/>
          <w:lang w:val="en-US"/>
        </w:rPr>
        <w:tab/>
      </w:r>
      <w:r w:rsidRPr="00C26EDD">
        <w:rPr>
          <w:rFonts w:ascii="Times New Roman" w:hAnsi="Times New Roman" w:cs="Times New Roman"/>
          <w:i/>
          <w:sz w:val="28"/>
          <w:szCs w:val="28"/>
        </w:rPr>
        <w:t>Әдістің клиникалық сезімталдығы - 80,2%, ерекшелігі – 98,1%, жалпы үйлесімділік – 95,9% және оң нәтижелердің сәйкес келу пайызы – 97,3%.</w:t>
      </w:r>
    </w:p>
    <w:p w:rsidR="008E4A05" w:rsidRPr="00C26EDD" w:rsidRDefault="00C26EDD" w:rsidP="00C26EDD">
      <w:pPr>
        <w:spacing w:before="240" w:after="24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eastAsia="ru-RU"/>
        </w:rPr>
        <w:t xml:space="preserve">Зертхана </w:t>
      </w:r>
      <w:r>
        <w:rPr>
          <w:rFonts w:ascii="Times New Roman" w:eastAsia="Times New Roman" w:hAnsi="Times New Roman" w:cs="Times New Roman"/>
          <w:sz w:val="28"/>
          <w:szCs w:val="28"/>
          <w:lang w:val="kk-KZ" w:eastAsia="ru-RU"/>
        </w:rPr>
        <w:t>Қызылорда қаласында орналасуы керек.</w:t>
      </w:r>
    </w:p>
    <w:sectPr w:rsidR="008E4A05" w:rsidRPr="00C26EDD" w:rsidSect="008300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74BB5"/>
    <w:multiLevelType w:val="multilevel"/>
    <w:tmpl w:val="69B6E97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D314CAA"/>
    <w:multiLevelType w:val="multilevel"/>
    <w:tmpl w:val="2AEAB73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7CD"/>
    <w:rsid w:val="00292185"/>
    <w:rsid w:val="003367CD"/>
    <w:rsid w:val="003E40B1"/>
    <w:rsid w:val="007275C8"/>
    <w:rsid w:val="00763E66"/>
    <w:rsid w:val="00791A03"/>
    <w:rsid w:val="008300F0"/>
    <w:rsid w:val="008E4A05"/>
    <w:rsid w:val="00BA00F0"/>
    <w:rsid w:val="00C26EDD"/>
    <w:rsid w:val="00CA66F3"/>
    <w:rsid w:val="00E43A67"/>
    <w:rsid w:val="00E66F79"/>
    <w:rsid w:val="00FE05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0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4A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E4A05"/>
    <w:pPr>
      <w:ind w:left="720"/>
      <w:contextualSpacing/>
    </w:pPr>
  </w:style>
  <w:style w:type="character" w:customStyle="1" w:styleId="anegp0gi0b9av8jahpyh">
    <w:name w:val="anegp0gi0b9av8jahpyh"/>
    <w:basedOn w:val="a0"/>
    <w:rsid w:val="00C26E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0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4A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E4A05"/>
    <w:pPr>
      <w:ind w:left="720"/>
      <w:contextualSpacing/>
    </w:pPr>
  </w:style>
  <w:style w:type="character" w:customStyle="1" w:styleId="anegp0gi0b9av8jahpyh">
    <w:name w:val="anegp0gi0b9av8jahpyh"/>
    <w:basedOn w:val="a0"/>
    <w:rsid w:val="00C26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208915">
      <w:bodyDiv w:val="1"/>
      <w:marLeft w:val="0"/>
      <w:marRight w:val="0"/>
      <w:marTop w:val="0"/>
      <w:marBottom w:val="0"/>
      <w:divBdr>
        <w:top w:val="none" w:sz="0" w:space="0" w:color="auto"/>
        <w:left w:val="none" w:sz="0" w:space="0" w:color="auto"/>
        <w:bottom w:val="none" w:sz="0" w:space="0" w:color="auto"/>
        <w:right w:val="none" w:sz="0" w:space="0" w:color="auto"/>
      </w:divBdr>
    </w:div>
    <w:div w:id="177648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2687</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Aitimbet B. Baimbetov</dc:creator>
  <cp:lastModifiedBy>Нуршат</cp:lastModifiedBy>
  <cp:revision>2</cp:revision>
  <dcterms:created xsi:type="dcterms:W3CDTF">2025-07-02T06:00:00Z</dcterms:created>
  <dcterms:modified xsi:type="dcterms:W3CDTF">2025-07-02T06:00:00Z</dcterms:modified>
</cp:coreProperties>
</file>