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ЖӨНДЕУ ЖҰМЫСТАРЫН ОРЫНДАУҒА АРНАЛҒАН</w:t>
        <w:br/>
        <w:t>ТЕХНИКАЛЫҚ СПЕЦИФИКАЦИЯ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Объектінің атауы</w:t>
            </w:r>
          </w:p>
        </w:tc>
        <w:tc>
          <w:tcPr>
            <w:tcW w:type="dxa" w:w="4320"/>
          </w:tcPr>
          <w:p>
            <w:r>
              <w:t>СК-ЦСК ҚР ҚМ Алматы қ. филиалы УТЦ №213 бөлмесін жөндеу</w:t>
            </w:r>
          </w:p>
        </w:tc>
      </w:tr>
      <w:tr>
        <w:tc>
          <w:tcPr>
            <w:tcW w:type="dxa" w:w="4320"/>
          </w:tcPr>
          <w:p>
            <w:r>
              <w:t>Жұмыстарды орындау орны</w:t>
            </w:r>
          </w:p>
        </w:tc>
        <w:tc>
          <w:tcPr>
            <w:tcW w:type="dxa" w:w="4320"/>
          </w:tcPr>
          <w:p>
            <w:r>
              <w:t>Алматы қ., тапсырыс берушінің объектісі</w:t>
            </w:r>
          </w:p>
        </w:tc>
      </w:tr>
      <w:tr>
        <w:tc>
          <w:tcPr>
            <w:tcW w:type="dxa" w:w="4320"/>
          </w:tcPr>
          <w:p>
            <w:r>
              <w:t>Сатып алу түрі</w:t>
            </w:r>
          </w:p>
        </w:tc>
        <w:tc>
          <w:tcPr>
            <w:tcW w:type="dxa" w:w="4320"/>
          </w:tcPr>
          <w:p>
            <w:r>
              <w:t>Жөндеу жұмыстарын орындау</w:t>
            </w:r>
          </w:p>
        </w:tc>
      </w:tr>
      <w:tr>
        <w:tc>
          <w:tcPr>
            <w:tcW w:type="dxa" w:w="4320"/>
          </w:tcPr>
          <w:p>
            <w:r>
              <w:t>Әзірлеуге негіз</w:t>
            </w:r>
          </w:p>
        </w:tc>
        <w:tc>
          <w:tcPr>
            <w:tcW w:type="dxa" w:w="4320"/>
          </w:tcPr>
          <w:p>
            <w:r>
              <w:t>«Смета-1.xlsx» сметалық құжаттамасындағы ақау ведомосы</w:t>
            </w:r>
          </w:p>
        </w:tc>
      </w:tr>
    </w:tbl>
    <w:p/>
    <w:p>
      <w:r>
        <w:rPr>
          <w:b/>
        </w:rPr>
        <w:t>1. Жұмыстардың тізбесі және көлемі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№</w:t>
            </w:r>
          </w:p>
        </w:tc>
        <w:tc>
          <w:tcPr>
            <w:tcW w:type="dxa" w:w="1728"/>
          </w:tcPr>
          <w:p>
            <w:r>
              <w:t>Жұмыс атауы</w:t>
            </w:r>
          </w:p>
        </w:tc>
        <w:tc>
          <w:tcPr>
            <w:tcW w:type="dxa" w:w="1728"/>
          </w:tcPr>
          <w:p>
            <w:r>
              <w:t>Өлшем бірлігі</w:t>
            </w:r>
          </w:p>
        </w:tc>
        <w:tc>
          <w:tcPr>
            <w:tcW w:type="dxa" w:w="1728"/>
          </w:tcPr>
          <w:p>
            <w:r>
              <w:t>Саны</w:t>
            </w:r>
          </w:p>
        </w:tc>
        <w:tc>
          <w:tcPr>
            <w:tcW w:type="dxa" w:w="1728"/>
          </w:tcPr>
          <w:p>
            <w:r>
              <w:t>Негізгі техникалық талаптар</w:t>
            </w:r>
          </w:p>
        </w:tc>
      </w:tr>
      <w:tr>
        <w:tc>
          <w:tcPr>
            <w:tcW w:type="dxa" w:w="1728"/>
          </w:tcPr>
          <w:p>
            <w:r>
              <w:t>1</w:t>
            </w:r>
          </w:p>
        </w:tc>
        <w:tc>
          <w:tcPr>
            <w:tcW w:type="dxa" w:w="1728"/>
          </w:tcPr>
          <w:p>
            <w:r>
              <w:t>Қалыңдығы 20 мм цементті стяжка (еден тегістегіш қабат) орнату</w:t>
            </w:r>
          </w:p>
        </w:tc>
        <w:tc>
          <w:tcPr>
            <w:tcW w:type="dxa" w:w="1728"/>
          </w:tcPr>
          <w:p>
            <w:r>
              <w:t>м² стяжка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Негіздер мен жабындарды орындау технологиясын сақтай отырып, тегістігін, беріктігін, сенімділігін және ақаулардың болмауын қамтамасыз ету.</w:t>
            </w:r>
          </w:p>
        </w:tc>
      </w:tr>
      <w:tr>
        <w:tc>
          <w:tcPr>
            <w:tcW w:type="dxa" w:w="1728"/>
          </w:tcPr>
          <w:p>
            <w:r>
              <w:t>2</w:t>
            </w:r>
          </w:p>
        </w:tc>
        <w:tc>
          <w:tcPr>
            <w:tcW w:type="dxa" w:w="1728"/>
          </w:tcPr>
          <w:p>
            <w:r>
              <w:t>Қалыңдығы 20 мм цементті стяжка орнату. Стяжка қалыңдығының әрбір 5 мм өзгеруіне 1111-0103-0101 нормасына қосу немесе алып тастау</w:t>
            </w:r>
          </w:p>
        </w:tc>
        <w:tc>
          <w:tcPr>
            <w:tcW w:type="dxa" w:w="1728"/>
          </w:tcPr>
          <w:p>
            <w:r>
              <w:t>м² стяжка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Негіздер мен жабындарды орындау технологиясын сақтай отырып, тегістігін, беріктігін, сенімділігін және ақаулардың болмауын қамтамасыз ету.</w:t>
            </w:r>
          </w:p>
        </w:tc>
      </w:tr>
      <w:tr>
        <w:tc>
          <w:tcPr>
            <w:tcW w:type="dxa" w:w="1728"/>
          </w:tcPr>
          <w:p>
            <w:r>
              <w:t>3</w:t>
            </w:r>
          </w:p>
        </w:tc>
        <w:tc>
          <w:tcPr>
            <w:tcW w:type="dxa" w:w="1728"/>
          </w:tcPr>
          <w:p>
            <w:r>
              <w:t>Қалыңдығы 4 мм бір қабатты полимерцементті құймалы еден жабындарын орнату</w:t>
            </w:r>
          </w:p>
        </w:tc>
        <w:tc>
          <w:tcPr>
            <w:tcW w:type="dxa" w:w="1728"/>
          </w:tcPr>
          <w:p>
            <w:r>
              <w:t>м² жабын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Негіздер мен жабындарды орындау технологиясын сақтай отырып, тегістігін, беріктігін, сенімділігін және ақаулардың болмауын қамтамасыз ету.</w:t>
            </w:r>
          </w:p>
        </w:tc>
      </w:tr>
      <w:tr>
        <w:tc>
          <w:tcPr>
            <w:tcW w:type="dxa" w:w="1728"/>
          </w:tcPr>
          <w:p>
            <w:r>
              <w:t>4</w:t>
            </w:r>
          </w:p>
        </w:tc>
        <w:tc>
          <w:tcPr>
            <w:tcW w:type="dxa" w:w="1728"/>
          </w:tcPr>
          <w:p>
            <w:r>
              <w:t>Ламинатталған еден жабындарын желімдеу тәсілімен орнату</w:t>
            </w:r>
          </w:p>
        </w:tc>
        <w:tc>
          <w:tcPr>
            <w:tcW w:type="dxa" w:w="1728"/>
          </w:tcPr>
          <w:p>
            <w:r>
              <w:t>м² жабын</w:t>
            </w:r>
          </w:p>
        </w:tc>
        <w:tc>
          <w:tcPr>
            <w:tcW w:type="dxa" w:w="1728"/>
          </w:tcPr>
          <w:p>
            <w:r>
              <w:t>63</w:t>
            </w:r>
          </w:p>
        </w:tc>
        <w:tc>
          <w:tcPr>
            <w:tcW w:type="dxa" w:w="1728"/>
          </w:tcPr>
          <w:p>
            <w:r>
              <w:t>Негіздер мен жабындарды орындау технологиясын сақтай отырып, тегістігін, беріктігін, сенімділігін және ақаулардың болмауын қамтамасыз ету.</w:t>
            </w:r>
          </w:p>
        </w:tc>
      </w:tr>
      <w:tr>
        <w:tc>
          <w:tcPr>
            <w:tcW w:type="dxa" w:w="1728"/>
          </w:tcPr>
          <w:p>
            <w:r>
              <w:t>5</w:t>
            </w:r>
          </w:p>
        </w:tc>
        <w:tc>
          <w:tcPr>
            <w:tcW w:type="dxa" w:w="1728"/>
          </w:tcPr>
          <w:p>
            <w:r>
              <w:t>Поливинилхлоридті плинтустарды өздігінен бұрап кіретін бұрандалармен орнату</w:t>
            </w:r>
          </w:p>
        </w:tc>
        <w:tc>
          <w:tcPr>
            <w:tcW w:type="dxa" w:w="1728"/>
          </w:tcPr>
          <w:p>
            <w:r>
              <w:t>м плинтус</w:t>
            </w:r>
          </w:p>
        </w:tc>
        <w:tc>
          <w:tcPr>
            <w:tcW w:type="dxa" w:w="1728"/>
          </w:tcPr>
          <w:p>
            <w:r>
              <w:t>54,0355</w:t>
            </w:r>
          </w:p>
        </w:tc>
        <w:tc>
          <w:tcPr>
            <w:tcW w:type="dxa" w:w="1728"/>
          </w:tcPr>
          <w:p>
            <w:r>
              <w:t>Негіздер мен жабындарды орындау технологиясын сақтай отырып, тегістігін, беріктігін, сенімділігін және ақаулардың болмауын қамтамасыз ету.</w:t>
            </w:r>
          </w:p>
        </w:tc>
      </w:tr>
      <w:tr>
        <w:tc>
          <w:tcPr>
            <w:tcW w:type="dxa" w:w="1728"/>
          </w:tcPr>
          <w:p>
            <w:r>
              <w:t>6</w:t>
            </w:r>
          </w:p>
        </w:tc>
        <w:tc>
          <w:tcPr>
            <w:tcW w:type="dxa" w:w="1728"/>
          </w:tcPr>
          <w:p>
            <w:r>
              <w:t>Құрғақ қоспадан жасалған желіммен керамикалық плиткалардан еден жабындарын орнату</w:t>
            </w:r>
          </w:p>
        </w:tc>
        <w:tc>
          <w:tcPr>
            <w:tcW w:type="dxa" w:w="1728"/>
          </w:tcPr>
          <w:p>
            <w:r>
              <w:t>м² жабын</w:t>
            </w:r>
          </w:p>
        </w:tc>
        <w:tc>
          <w:tcPr>
            <w:tcW w:type="dxa" w:w="1728"/>
          </w:tcPr>
          <w:p>
            <w:r>
              <w:t>5</w:t>
            </w:r>
          </w:p>
        </w:tc>
        <w:tc>
          <w:tcPr>
            <w:tcW w:type="dxa" w:w="1728"/>
          </w:tcPr>
          <w:p>
            <w:r>
              <w:t>Негіздер мен жабындарды орындау технологиясын сақтай отырып, тегістігін, беріктігін, сенімділігін және ақаулардың болмауын қамтамасыз ету.</w:t>
            </w:r>
          </w:p>
        </w:tc>
      </w:tr>
      <w:tr>
        <w:tc>
          <w:tcPr>
            <w:tcW w:type="dxa" w:w="1728"/>
          </w:tcPr>
          <w:p>
            <w:r>
              <w:t>7</w:t>
            </w:r>
          </w:p>
        </w:tc>
        <w:tc>
          <w:tcPr>
            <w:tcW w:type="dxa" w:w="1728"/>
          </w:tcPr>
          <w:p>
            <w:r>
              <w:t>Бөлме ішіндегі қабырға бетін гипс негізіндегі құрғақ қоспа ерітіндісімен, қалыңдығы 10 мм-ге дейін сылау</w:t>
            </w:r>
          </w:p>
        </w:tc>
        <w:tc>
          <w:tcPr>
            <w:tcW w:type="dxa" w:w="1728"/>
          </w:tcPr>
          <w:p>
            <w:r>
              <w:t>м² сыланатын бет</w:t>
            </w:r>
          </w:p>
        </w:tc>
        <w:tc>
          <w:tcPr>
            <w:tcW w:type="dxa" w:w="1728"/>
          </w:tcPr>
          <w:p>
            <w:r>
              <w:t>131,25</w:t>
            </w:r>
          </w:p>
        </w:tc>
        <w:tc>
          <w:tcPr>
            <w:tcW w:type="dxa" w:w="1728"/>
          </w:tcPr>
          <w:p>
            <w:r>
              <w:t>Сылақ, шпаклевка және бояу жұмыстарын орындап, жарықшақсыз, қабыршақтанусыз және ағындыларсыз тегіс, біркелкі бет қамтамасыз етілсін.</w:t>
            </w:r>
          </w:p>
        </w:tc>
      </w:tr>
      <w:tr>
        <w:tc>
          <w:tcPr>
            <w:tcW w:type="dxa" w:w="1728"/>
          </w:tcPr>
          <w:p>
            <w:r>
              <w:t>8</w:t>
            </w:r>
          </w:p>
        </w:tc>
        <w:tc>
          <w:tcPr>
            <w:tcW w:type="dxa" w:w="1728"/>
          </w:tcPr>
          <w:p>
            <w:r>
              <w:t>Құрғақ қоспа ерітіндісімен сыланған қабырға бетін бояуға дайындау</w:t>
            </w:r>
          </w:p>
        </w:tc>
        <w:tc>
          <w:tcPr>
            <w:tcW w:type="dxa" w:w="1728"/>
          </w:tcPr>
          <w:p>
            <w:r>
              <w:t>м² өңделетін бет</w:t>
            </w:r>
          </w:p>
        </w:tc>
        <w:tc>
          <w:tcPr>
            <w:tcW w:type="dxa" w:w="1728"/>
          </w:tcPr>
          <w:p>
            <w:r>
              <w:t>131,25</w:t>
            </w:r>
          </w:p>
        </w:tc>
        <w:tc>
          <w:tcPr>
            <w:tcW w:type="dxa" w:w="1728"/>
          </w:tcPr>
          <w:p>
            <w:r>
              <w:t>Сылақ, шпаклевка және бояу жұмыстарын орындап, жарықшақсыз, қабыршақтанусыз және ағындыларсыз тегіс, біркелкі бет қамтамасыз етілсін.</w:t>
            </w:r>
          </w:p>
        </w:tc>
      </w:tr>
      <w:tr>
        <w:tc>
          <w:tcPr>
            <w:tcW w:type="dxa" w:w="1728"/>
          </w:tcPr>
          <w:p>
            <w:r>
              <w:t>9</w:t>
            </w:r>
          </w:p>
        </w:tc>
        <w:tc>
          <w:tcPr>
            <w:tcW w:type="dxa" w:w="1728"/>
          </w:tcPr>
          <w:p>
            <w:r>
              <w:t>Сылақ және қабырғаның құрастырмалы конструкциясы бойынша су эмульсиялы құрамдармен жақсартылған бояу</w:t>
            </w:r>
          </w:p>
        </w:tc>
        <w:tc>
          <w:tcPr>
            <w:tcW w:type="dxa" w:w="1728"/>
          </w:tcPr>
          <w:p>
            <w:r>
              <w:t>м² боялатын бет</w:t>
            </w:r>
          </w:p>
        </w:tc>
        <w:tc>
          <w:tcPr>
            <w:tcW w:type="dxa" w:w="1728"/>
          </w:tcPr>
          <w:p>
            <w:r>
              <w:t>131,25</w:t>
            </w:r>
          </w:p>
        </w:tc>
        <w:tc>
          <w:tcPr>
            <w:tcW w:type="dxa" w:w="1728"/>
          </w:tcPr>
          <w:p>
            <w:r>
              <w:t>Сылақ, шпаклевка және бояу жұмыстарын орындап, жарықшақсыз, қабыршақтанусыз және ағындыларсыз тегіс, біркелкі бет қамтамасыз етілсін.</w:t>
            </w:r>
          </w:p>
        </w:tc>
      </w:tr>
      <w:tr>
        <w:tc>
          <w:tcPr>
            <w:tcW w:type="dxa" w:w="1728"/>
          </w:tcPr>
          <w:p>
            <w:r>
              <w:t>10</w:t>
            </w:r>
          </w:p>
        </w:tc>
        <w:tc>
          <w:tcPr>
            <w:tcW w:type="dxa" w:w="1728"/>
          </w:tcPr>
          <w:p>
            <w:r>
              <w:t>Бетон төбенің бетін құрғақ қоспа ерітіндісімен екі рет бояуға дайындау</w:t>
            </w:r>
          </w:p>
        </w:tc>
        <w:tc>
          <w:tcPr>
            <w:tcW w:type="dxa" w:w="1728"/>
          </w:tcPr>
          <w:p>
            <w:r>
              <w:t>м² өңделетін бет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Төбені дайындау, шпаклевкалау және бояу жұмыстарын орындау. Беті тегіс, біркелкі және көзге көрінетін ақауларсыз болуы тиіс.</w:t>
            </w:r>
          </w:p>
        </w:tc>
      </w:tr>
      <w:tr>
        <w:tc>
          <w:tcPr>
            <w:tcW w:type="dxa" w:w="1728"/>
          </w:tcPr>
          <w:p>
            <w:r>
              <w:t>11</w:t>
            </w:r>
          </w:p>
        </w:tc>
        <w:tc>
          <w:tcPr>
            <w:tcW w:type="dxa" w:w="1728"/>
          </w:tcPr>
          <w:p>
            <w:r>
              <w:t>Сылақ және төбенің құрастырмалы конструкциясы бойынша су эмульсиялы құрамдармен жақсартылған бояу</w:t>
            </w:r>
          </w:p>
        </w:tc>
        <w:tc>
          <w:tcPr>
            <w:tcW w:type="dxa" w:w="1728"/>
          </w:tcPr>
          <w:p>
            <w:r>
              <w:t>м² боялатын бет</w:t>
            </w:r>
          </w:p>
        </w:tc>
        <w:tc>
          <w:tcPr>
            <w:tcW w:type="dxa" w:w="1728"/>
          </w:tcPr>
          <w:p>
            <w:r>
              <w:t>68</w:t>
            </w:r>
          </w:p>
        </w:tc>
        <w:tc>
          <w:tcPr>
            <w:tcW w:type="dxa" w:w="1728"/>
          </w:tcPr>
          <w:p>
            <w:r>
              <w:t>Төбені дайындау, шпаклевкалау және бояу жұмыстарын орындау. Беті тегіс, біркелкі және көзге көрінетін ақауларсыз болуы тиіс.</w:t>
            </w:r>
          </w:p>
        </w:tc>
      </w:tr>
      <w:tr>
        <w:tc>
          <w:tcPr>
            <w:tcW w:type="dxa" w:w="1728"/>
          </w:tcPr>
          <w:p>
            <w:r>
              <w:t>12</w:t>
            </w:r>
          </w:p>
        </w:tc>
        <w:tc>
          <w:tcPr>
            <w:tcW w:type="dxa" w:w="1728"/>
          </w:tcPr>
          <w:p>
            <w:r>
              <w:t>Ыстық және суық суға қосумен пластик душ кабинасын орнату</w:t>
            </w:r>
          </w:p>
        </w:tc>
        <w:tc>
          <w:tcPr>
            <w:tcW w:type="dxa" w:w="1728"/>
          </w:tcPr>
          <w:p>
            <w:r>
              <w:t>жиынтық</w:t>
            </w:r>
          </w:p>
        </w:tc>
        <w:tc>
          <w:tcPr>
            <w:tcW w:type="dxa" w:w="1728"/>
          </w:tcPr>
          <w:p>
            <w:r>
              <w:t>1</w:t>
            </w:r>
          </w:p>
        </w:tc>
        <w:tc>
          <w:tcPr>
            <w:tcW w:type="dxa" w:w="1728"/>
          </w:tcPr>
          <w:p>
            <w:r>
              <w:t>Жабдықты суық және ыстық сумен жабдықтау желілеріне қосып орнату. Қосылыстар герметикалық орындалып, ағып кетудің жоқтығы тексерілсін.</w:t>
            </w:r>
          </w:p>
        </w:tc>
      </w:tr>
      <w:tr>
        <w:tc>
          <w:tcPr>
            <w:tcW w:type="dxa" w:w="1728"/>
          </w:tcPr>
          <w:p>
            <w:r>
              <w:t>13</w:t>
            </w:r>
          </w:p>
        </w:tc>
        <w:tc>
          <w:tcPr>
            <w:tcW w:type="dxa" w:w="1728"/>
          </w:tcPr>
          <w:p>
            <w:r>
              <w:t>Ыстық және суық суға қосумен, араластырғышты орнату және қосу арқылы инсталляциясы бар жеке қолжуғышты орнату</w:t>
            </w:r>
          </w:p>
        </w:tc>
        <w:tc>
          <w:tcPr>
            <w:tcW w:type="dxa" w:w="1728"/>
          </w:tcPr>
          <w:p>
            <w:r>
              <w:t>жиынтық</w:t>
            </w:r>
          </w:p>
        </w:tc>
        <w:tc>
          <w:tcPr>
            <w:tcW w:type="dxa" w:w="1728"/>
          </w:tcPr>
          <w:p>
            <w:r>
              <w:t>1</w:t>
            </w:r>
          </w:p>
        </w:tc>
        <w:tc>
          <w:tcPr>
            <w:tcW w:type="dxa" w:w="1728"/>
          </w:tcPr>
          <w:p>
            <w:r>
              <w:t>Жабдықты суық және ыстық сумен жабдықтау желілеріне қосып орнату. Қосылыстар герметикалық орындалып, ағып кетудің жоқтығы тексерілсін.</w:t>
            </w:r>
          </w:p>
        </w:tc>
      </w:tr>
    </w:tbl>
    <w:p>
      <w:r>
        <w:rPr>
          <w:b/>
        </w:rPr>
        <w:t>2. Жұмыстарды орындауға қойылатын техникалық талаптар</w:t>
      </w:r>
    </w:p>
    <w:p>
      <w:pPr>
        <w:pStyle w:val="ListBullet"/>
      </w:pPr>
      <w:r>
        <w:t>Мердігер техникалық спецификацияда және ақау ведомосында көзделген жұмыстардың толық көлемін орындауға міндетті.</w:t>
      </w:r>
    </w:p>
    <w:p>
      <w:pPr>
        <w:pStyle w:val="ListBullet"/>
      </w:pPr>
      <w:r>
        <w:t>Материалдар, бұйымдар және жабдықтар жаңа, сапалы болуы және Қазақстан Республикасының қолданыстағы стандарттары мен талаптарына сәйкес келуі тиіс.</w:t>
      </w:r>
    </w:p>
    <w:p>
      <w:pPr>
        <w:pStyle w:val="ListBullet"/>
      </w:pPr>
      <w:r>
        <w:t>Жұмыстар басталғанға дейін нақты өлшемдерді, беттердің жай-күйін және инженерлік желілердің орналасуын нақтылау қажет.</w:t>
      </w:r>
    </w:p>
    <w:p>
      <w:pPr>
        <w:pStyle w:val="ListBullet"/>
      </w:pPr>
      <w:r>
        <w:t>Жұмыстарды еңбекті қорғау, өрт қауіпсіздігі және санитариялық нормаларды сақтай отырып орындау қажет.</w:t>
      </w:r>
    </w:p>
    <w:p>
      <w:pPr>
        <w:pStyle w:val="ListBullet"/>
      </w:pPr>
      <w:r>
        <w:t>Құрылыс қалдықтары пайда болуына қарай және жұмыстар аяқталғаннан кейін шығарылуы тиіс.</w:t>
      </w:r>
    </w:p>
    <w:p>
      <w:pPr>
        <w:pStyle w:val="ListBullet"/>
      </w:pPr>
      <w:r>
        <w:t>Қосымша жұмыстар тек тапсырыс берушімен жазбаша келісілгеннен кейін орындалады.</w:t>
      </w:r>
    </w:p>
    <w:p>
      <w:r>
        <w:rPr>
          <w:b/>
        </w:rPr>
        <w:t>3. Сапаға және қабылдауға қойылатын талаптар</w:t>
      </w:r>
    </w:p>
    <w:p>
      <w:pPr>
        <w:pStyle w:val="ListBullet"/>
      </w:pPr>
      <w:r>
        <w:t>Қабылдауды тапсырыс беруші орындалған жұмыстардың нақты көлемі мен сапасы бойынша жүзеге асырады.</w:t>
      </w:r>
    </w:p>
    <w:p>
      <w:pPr>
        <w:pStyle w:val="ListBullet"/>
      </w:pPr>
      <w:r>
        <w:t>Әрлеу беттері тегіс, біркелкі, жарықшақтарсыз, қабыршақтанусыз, дақтарсыз және басқа да көзге көрінетін ақауларсыз болуы тиіс.</w:t>
      </w:r>
    </w:p>
    <w:p>
      <w:pPr>
        <w:pStyle w:val="ListBullet"/>
      </w:pPr>
      <w:r>
        <w:t>Сантехникалық қосылыстардың герметикалығы мен жұмысқа қабілеттілігі тексеріледі.</w:t>
      </w:r>
    </w:p>
    <w:p>
      <w:pPr>
        <w:pStyle w:val="ListBullet"/>
      </w:pPr>
      <w:r>
        <w:t>Мердігердің кінәсінен анықталған кемшіліктер оның есебінен жойылады.</w:t>
      </w:r>
    </w:p>
    <w:p>
      <w:pPr>
        <w:pStyle w:val="ListBullet"/>
      </w:pPr>
      <w:r>
        <w:t>Жұмыстар аяқталғаннан кейін объект құрылыс қалдықтарынсыз, таза күйінде тапсырылады.</w:t>
      </w:r>
    </w:p>
    <w:p>
      <w:r>
        <w:rPr>
          <w:b/>
        </w:rPr>
        <w:t>4. Жұмыстарды орындау мерзімі мен шарттары</w:t>
      </w:r>
    </w:p>
    <w:p>
      <w:pPr>
        <w:pStyle w:val="ListBullet"/>
      </w:pPr>
      <w:r>
        <w:t>Жұмыстарды орындау мерзімі мемлекеттік сатып алу туралы шарттың талаптарымен белгіленеді.</w:t>
      </w:r>
    </w:p>
    <w:p>
      <w:pPr>
        <w:pStyle w:val="ListBullet"/>
      </w:pPr>
      <w:r>
        <w:t>Жұмыстарды бастау — шартқа қол қойылғаннан және объект тапсырыс беруші тарапынан берілгеннен кейін, егер шартта өзгеше көзделмесе.</w:t>
      </w:r>
    </w:p>
    <w:p>
      <w:pPr>
        <w:pStyle w:val="ListBullet"/>
      </w:pPr>
      <w:r>
        <w:t>Мердігер шарт талаптарына сәйкес жұмыс күшін, құрал-саймандарды, жабдықтарды және шығыс материалдарын қамтамасыз етеді.</w:t>
      </w:r>
    </w:p>
    <w:p>
      <w:pPr>
        <w:pStyle w:val="ListBullet"/>
      </w:pPr>
      <w:r>
        <w:t>Жұмыстар көлеміне, материалдарға немесе технологияға енгізілетін өзгерістер тапсырыс берушімен жазбаша келісіледі.</w:t>
      </w:r>
    </w:p>
    <w:p>
      <w:r>
        <w:rPr>
          <w:b/>
        </w:rPr>
        <w:t>5. Кепілдік міндеттемелер</w:t>
      </w:r>
    </w:p>
    <w:p>
      <w:pPr>
        <w:pStyle w:val="ListBullet"/>
      </w:pPr>
      <w:r>
        <w:t>Кепілдік міндеттемелер мемлекеттік сатып алу туралы шартпен және Қазақстан Республикасының заңнамасымен айқындалады. Мердігер өз кінәсінен туындаған кемшіліктерді кепілдік мерзімі ішінде белгіленген тәртіппен жоюға міндетті.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Тапсырыс беруші ____________________________</w:t>
            </w:r>
          </w:p>
        </w:tc>
        <w:tc>
          <w:tcPr>
            <w:tcW w:type="dxa" w:w="4320"/>
          </w:tcPr>
          <w:p>
            <w:r>
              <w:t>Мердігер ____________________________</w:t>
            </w:r>
          </w:p>
        </w:tc>
      </w:tr>
      <w:tr>
        <w:tc>
          <w:tcPr>
            <w:tcW w:type="dxa" w:w="4320"/>
          </w:tcPr>
          <w:p>
            <w:r>
              <w:t>Күні «____» __________ 2026 ж.</w:t>
            </w:r>
          </w:p>
        </w:tc>
        <w:tc>
          <w:tcPr>
            <w:tcW w:type="dxa" w:w="4320"/>
          </w:tcPr>
          <w:p>
            <w:r/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