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right"/>
        <w:spacing w:before="0" w:after="0"/>
        <w:rPr>
          <w:rFonts w:ascii="Times New Roman" w:hAnsi="Times New Roman" w:cs="Times New Roman" w:eastAsia="Times New Roman"/>
          <w:color w:val="2C2D2E"/>
          <w:sz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2C2D2E"/>
          <w:sz w:val="24"/>
          <w:highlight w:val="white"/>
        </w:rPr>
        <w:t xml:space="preserve">ГККП "Ясли-сад Карлыгаш " </w:t>
      </w:r>
      <w:r>
        <w:rPr>
          <w:sz w:val="24"/>
        </w:rPr>
      </w:r>
    </w:p>
    <w:p>
      <w:pPr>
        <w:ind w:left="0" w:right="0" w:firstLine="0"/>
        <w:jc w:val="right"/>
        <w:spacing w:before="0" w:after="0"/>
        <w:rPr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2C2D2E"/>
          <w:sz w:val="24"/>
          <w:highlight w:val="white"/>
        </w:rPr>
        <w:t xml:space="preserve">отдела образования Фёдоровского района</w:t>
      </w:r>
      <w:r/>
      <w:r/>
      <w:r>
        <w:rPr>
          <w:lang w:val="kk-KZ"/>
        </w:rPr>
      </w:r>
      <w:r/>
      <w:r>
        <w:rPr>
          <w:sz w:val="24"/>
        </w:rPr>
      </w:r>
    </w:p>
    <w:p>
      <w:pPr>
        <w:contextualSpacing/>
        <w:spacing w:before="0" w:after="0" w:afterAutospacing="0" w:line="283" w:lineRule="atLeast"/>
        <w:rPr>
          <w:lang w:val="kk-KZ"/>
        </w:rPr>
      </w:pPr>
      <w:r>
        <w:rPr>
          <w:lang w:val="kk-KZ"/>
        </w:rPr>
        <w:t xml:space="preserve">  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        Представляем ценовое предложение на услуги поверки средств измерений на 2026 год. В 2027 году возможно повышение цены на 20-25%. Средства измерения поверяются при наличии в Реестре ГСИ РК.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6"/>
        </w:rPr>
        <w:t xml:space="preserve"> </w:t>
      </w:r>
      <w:r/>
    </w:p>
    <w:p>
      <w:pPr>
        <w:ind w:left="0" w:right="0" w:firstLine="425"/>
        <w:jc w:val="both"/>
        <w:spacing w:before="0" w:after="10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Лейблы/пломбы, а также транспортные расходы входят в стоимость услуг.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6"/>
        </w:rPr>
        <w:t xml:space="preserve"> </w:t>
      </w:r>
      <w:r/>
    </w:p>
    <w:tbl>
      <w:tblPr>
        <w:tblStyle w:val="81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345"/>
        <w:gridCol w:w="551"/>
        <w:gridCol w:w="4127"/>
        <w:gridCol w:w="917"/>
        <w:gridCol w:w="924"/>
        <w:gridCol w:w="1158"/>
        <w:gridCol w:w="1239"/>
      </w:tblGrid>
      <w:tr>
        <w:trPr>
          <w:trHeight w:val="93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      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№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2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Наименование услуг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Кол-во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Ед. изм.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Цена с НДС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Сумма с НДС</w:t>
            </w:r>
            <w:r/>
          </w:p>
        </w:tc>
      </w:tr>
      <w:tr>
        <w:trPr>
          <w:trHeight w:val="85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2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Поверка. Ростомер 0...2200 мм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1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1,000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одна услуга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22 029,00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22 029,00</w:t>
            </w:r>
            <w:r/>
          </w:p>
        </w:tc>
      </w:tr>
      <w:tr>
        <w:trPr>
          <w:trHeight w:val="85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2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Поверка. Весы электронные свыше 60 кг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1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1,000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одна услуга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32 971,00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32 971,00</w:t>
            </w:r>
            <w:r/>
          </w:p>
        </w:tc>
      </w:tr>
      <w:tr>
        <w:trPr>
          <w:trHeight w:val="312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022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Итого</w:t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9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55 000,00</w:t>
            </w:r>
            <w:r/>
          </w:p>
        </w:tc>
      </w:tr>
      <w:tr>
        <w:trPr>
          <w:trHeight w:val="312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022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В том числе НДС: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9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7 586,20</w:t>
            </w:r>
            <w:r/>
          </w:p>
        </w:tc>
      </w:tr>
      <w:tr>
        <w:trPr>
          <w:trHeight w:val="312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022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Всего к оплате: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9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55 000,00</w:t>
            </w:r>
            <w:r/>
          </w:p>
        </w:tc>
      </w:tr>
    </w:tbl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 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Исп. – Безай Ю.В.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Тел. (7142) 570-419</w:t>
      </w:r>
      <w:r/>
    </w:p>
    <w:p>
      <w:pPr>
        <w:ind w:left="0" w:right="0" w:firstLine="0"/>
        <w:jc w:val="left"/>
        <w:spacing w:before="0" w:after="0"/>
        <w:rPr>
          <w:rFonts w:ascii="Times New Roman" w:hAnsi="Times New Roman" w:cs="Times New Roman" w:eastAsia="Times New Roman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highlight w:val="none"/>
        </w:rPr>
      </w:r>
      <w:r/>
    </w:p>
    <w:sectPr>
      <w:headerReference w:type="first" r:id="rId8"/>
      <w:footerReference w:type="default" r:id="rId9"/>
      <w:footerReference w:type="first" r:id="rId10"/>
      <w:headerReference w:type="default" r:id="rId11"/>
      <w:headerReference w:type="even" r:id="rId12"/>
      <w:footerReference w:type="even" r:id="rId13"/>
      <w:footnotePr/>
      <w:endnotePr/>
      <w:type w:val="nextPage"/>
      <w:pgSz w:w="11906" w:h="16838" w:orient="portrait"/>
      <w:pgMar w:top="1134" w:right="850" w:bottom="1134" w:left="1701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Noto Sans CJK SC">
    <w:panose1 w:val="020B0509000000000004"/>
  </w:font>
  <w:font w:name="Lohit Devanagari">
    <w:panose1 w:val="020B0600000000000000"/>
  </w:font>
  <w:font w:name="Liberation Sans">
    <w:panose1 w:val="020B060402020202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16"/>
      <w:tblW w:w="0" w:type="auto"/>
      <w:tblLayout w:type="fixed"/>
      <w:tblLook w:val="04A0" w:firstRow="1" w:lastRow="0" w:firstColumn="1" w:lastColumn="0" w:noHBand="0" w:noVBand="1"/>
    </w:tblPr>
    <w:tblGrid>
      <w:gridCol w:w="7478"/>
      <w:gridCol w:w="2410"/>
    </w:tblGrid>
    <w:tr>
      <w:trPr/>
      <w:tc>
        <w:tcPr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7478" w:type="dxa"/>
          <w:textDirection w:val="lrTb"/>
          <w:noWrap w:val="false"/>
        </w:tcPr>
        <w:p>
          <w:pPr>
            <w:jc w:val="left"/>
            <w:spacing w:before="0" w:after="0"/>
            <w:rPr>
              <w:rFonts w:ascii="Times New Roman" w:hAnsi="Times New Roman" w:cs="Times New Roman" w:eastAsia="Times New Roman"/>
              <w:highlight w:val="none"/>
            </w:r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pBdr>
          </w:pPr>
          <w:r>
            <w:rPr>
              <w:rFonts w:ascii="Times New Roman" w:hAnsi="Times New Roman" w:cs="Times New Roman" w:eastAsia="Times New Roman"/>
              <w:sz w:val="28"/>
              <w:highlight w:val="none"/>
              <w:lang w:val="ru-RU"/>
            </w:rPr>
          </w:r>
          <w:r>
            <w:rPr>
              <w:rFonts w:ascii="Times New Roman" w:hAnsi="Times New Roman" w:cs="Times New Roman" w:eastAsia="Times New Roman"/>
              <w:sz w:val="24"/>
              <w:lang w:val="ru-RU"/>
            </w:rPr>
            <w:t>Издатель ЭЦП - ҰЛТТЫҚ КУӘЛАНДЫРУШЫ ОРТАЛЫҚ (GOST) 2022, ЖАРМАНОВ АЗАМАТ, Костанайский филиал Акционерного общества "Национальный центр экспертизы и сертификации", BIN001141000724</w:t>
          </w:r>
          <w:r>
            <w:rPr>
              <w:rFonts w:ascii="Times New Roman" w:hAnsi="Times New Roman" w:cs="Times New Roman" w:eastAsia="Times New Roman"/>
              <w:highlight w:val="none"/>
            </w:rPr>
          </w:r>
          <w:r/>
        </w:p>
      </w:tc>
      <w:tc>
        <w:tcPr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2410" w:type="dxa"/>
          <w:textDirection w:val="lrTb"/>
          <w:noWrap w:val="false"/>
        </w:tcPr>
        <w:p>
          <w:pPr>
            <w:jc w:val="left"/>
            <w:spacing w:before="0" w:after="0"/>
            <w:rPr>
              <w:rFonts w:ascii="Times New Roman" w:hAnsi="Times New Roman" w:cs="Times New Roman" w:eastAsia="Times New Roman"/>
              <w:highlight w:val="none"/>
            </w:r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pBdr>
          </w:pPr>
          <w:r/>
          <w:r>
            <w:drawing>
              <wp:inline xmlns:pic="http://schemas.openxmlformats.org/drawingml/2006/picture">
                <wp:extent cx="787400" cy="7874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7400" cy="7874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  <w:t/>
          </w:r>
        </w:p>
      </w:tc>
    </w:tr>
  </w:tbl>
  <w:p>
    <w:pPr>
      <w:pStyle w:val="80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16"/>
      <w:tblW w:w="0" w:type="auto"/>
      <w:tblLayout w:type="fixed"/>
      <w:tblLook w:val="04A0" w:firstRow="1" w:lastRow="0" w:firstColumn="1" w:lastColumn="0" w:noHBand="0" w:noVBand="1"/>
    </w:tblPr>
    <w:tblGrid>
      <w:gridCol w:w="7478"/>
      <w:gridCol w:w="2410"/>
    </w:tblGrid>
    <w:tr>
      <w:trPr/>
      <w:tc>
        <w:tcPr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7478" w:type="dxa"/>
          <w:textDirection w:val="lrTb"/>
          <w:noWrap w:val="false"/>
        </w:tcPr>
        <w:p>
          <w:pPr>
            <w:jc w:val="left"/>
            <w:spacing w:before="0" w:after="0"/>
            <w:rPr>
              <w:rFonts w:ascii="Times New Roman" w:hAnsi="Times New Roman" w:cs="Times New Roman" w:eastAsia="Times New Roman"/>
              <w:highlight w:val="none"/>
            </w:r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pBdr>
          </w:pPr>
          <w:r>
            <w:rPr>
              <w:rFonts w:ascii="Times New Roman" w:hAnsi="Times New Roman" w:cs="Times New Roman" w:eastAsia="Times New Roman"/>
              <w:sz w:val="28"/>
              <w:highlight w:val="none"/>
              <w:lang w:val="ru-RU"/>
            </w:rPr>
          </w:r>
          <w:r>
            <w:rPr>
              <w:rFonts w:ascii="Times New Roman" w:hAnsi="Times New Roman" w:cs="Times New Roman" w:eastAsia="Times New Roman"/>
              <w:sz w:val="24"/>
              <w:lang w:val="ru-RU"/>
            </w:rPr>
            <w:t>Издатель ЭЦП - ҰЛТТЫҚ КУӘЛАНДЫРУШЫ ОРТАЛЫҚ (GOST) 2022, ЖАРМАНОВ АЗАМАТ, Костанайский филиал Акционерного общества "Национальный центр экспертизы и сертификации", BIN001141000724</w:t>
          </w:r>
          <w:r>
            <w:rPr>
              <w:rFonts w:ascii="Times New Roman" w:hAnsi="Times New Roman" w:cs="Times New Roman" w:eastAsia="Times New Roman"/>
              <w:highlight w:val="none"/>
            </w:rPr>
          </w:r>
          <w:r/>
        </w:p>
      </w:tc>
      <w:tc>
        <w:tcPr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2410" w:type="dxa"/>
          <w:textDirection w:val="lrTb"/>
          <w:noWrap w:val="false"/>
        </w:tcPr>
        <w:p>
          <w:pPr>
            <w:jc w:val="left"/>
            <w:spacing w:before="0" w:after="0"/>
            <w:rPr>
              <w:rFonts w:ascii="Times New Roman" w:hAnsi="Times New Roman" w:cs="Times New Roman" w:eastAsia="Times New Roman"/>
              <w:highlight w:val="none"/>
            </w:r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pBdr>
          </w:pPr>
          <w:r/>
          <w:r>
            <w:drawing>
              <wp:inline xmlns:pic="http://schemas.openxmlformats.org/drawingml/2006/picture">
                <wp:extent cx="787400" cy="7874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7400" cy="7874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  <w:t/>
          </w:r>
        </w:p>
      </w:tc>
    </w:tr>
  </w:tbl>
  <w:p>
    <w:pPr>
      <w:pStyle w:val="800"/>
    </w:pPr>
    <w:r/>
    <w:r/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9"/>
      <w:rPr>
        <w:highlight w:val="none"/>
      </w:rPr>
    </w:pPr>
    <w:r>
      <w:rPr>
        <w:highlight w:val="none"/>
      </w:rPr>
    </w:r>
    <w:r>
      <w:rPr>
        <w:highlight w:val="none"/>
      </w:rPr>
    </w:r>
    <w:r/>
  </w:p>
  <w:p>
    <w:pPr>
      <w:pStyle w:val="799"/>
      <w:rPr>
        <w:highlight w:val="none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0425" cy="1910286"/>
              <wp:effectExtent l="0" t="0" r="0" b="0"/>
              <wp:docPr id="1" name="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2223297" name="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0424" cy="191028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67.8pt;height:150.4pt;" stroked="false">
              <v:path textboxrect="0,0,0,0"/>
              <v:imagedata r:id="rId1" o:title=""/>
            </v:shape>
          </w:pict>
        </mc:Fallback>
      </mc:AlternateContent>
    </w:r>
    <w:r>
      <w:rPr>
        <w:highlight w:val="none"/>
      </w:rPr>
    </w:r>
    <w:r/>
  </w:p>
  <w:p>
    <w:pPr>
      <w:pStyle w:val="799"/>
      <w:rPr>
        <w:rFonts w:ascii="Times New Roman" w:hAnsi="Times New Roman" w:cs="Times New Roman" w:eastAsia="Times New Roman"/>
      </w:rPr>
    </w:pPr>
    <w:r>
      <w:rPr>
        <w:rFonts w:ascii="Times New Roman" w:hAnsi="Times New Roman" w:cs="Times New Roman" w:eastAsia="Times New Roman"/>
        <w:sz w:val="24"/>
      </w:rPr>
    </w:r>
    <w:r>
      <w:rPr>
        <w:rFonts w:ascii="Times New Roman" w:hAnsi="Times New Roman" w:cs="Times New Roman" w:eastAsia="Times New Roman"/>
      </w:rPr>
    </w:r>
    <w:r/>
  </w:p>
  <w:p>
    <w:pPr>
      <w:pStyle w:val="799"/>
      <w:rPr>
        <w:rFonts w:ascii="Times New Roman" w:hAnsi="Times New Roman" w:cs="Times New Roman" w:eastAsia="Times New Roman"/>
      </w:rPr>
    </w:pPr>
    <w:r>
      <w:rPr>
        <w:rFonts w:ascii="Times New Roman" w:hAnsi="Times New Roman" w:cs="Times New Roman" w:eastAsia="Times New Roman"/>
        <w:sz w:val="28"/>
        <w:highlight w:val="none"/>
      </w:rPr>
    </w:r>
    <w:r>
      <w:rPr>
        <w:rFonts w:ascii="Times New Roman" w:hAnsi="Times New Roman" w:cs="Times New Roman" w:eastAsia="Times New Roman" w:hint="default"/>
        <w:color w:val="000000"/>
        <w:sz w:val="28"/>
        <w:u w:val="none"/>
      </w:rPr>
      <w:t>19.10.2026</w:t>
    </w:r>
    <w:r>
      <w:rPr>
        <w:rFonts w:ascii="Times New Roman" w:hAnsi="Times New Roman" w:cs="Times New Roman" w:eastAsia="Times New Roman" w:hint="default"/>
        <w:sz w:val="28"/>
      </w:rPr>
      <w:t xml:space="preserve"> </w:t>
    </w:r>
    <w:r>
      <w:rPr>
        <w:rFonts w:ascii="Times New Roman" w:hAnsi="Times New Roman" w:cs="Times New Roman" w:eastAsia="Times New Roman"/>
        <w:sz w:val="28"/>
        <w:highlight w:val="none"/>
      </w:rPr>
      <w:t xml:space="preserve">№</w:t>
    </w:r>
    <w:r>
      <w:rPr>
        <w:rFonts w:ascii="Times New Roman" w:hAnsi="Times New Roman" w:cs="Times New Roman" w:eastAsia="Times New Roman" w:hint="default"/>
        <w:color w:val="000000"/>
        <w:sz w:val="28"/>
        <w:u w:val="none"/>
      </w:rPr>
      <w:t>1002</w:t>
    </w:r>
    <w:r>
      <w:rPr>
        <w:rFonts w:ascii="Times New Roman" w:hAnsi="Times New Roman" w:cs="Times New Roman" w:eastAsia="Times New Roman" w:hint="default"/>
        <w:sz w:val="28"/>
      </w:rPr>
      <w:t xml:space="preserve"> </w:t>
    </w:r>
    <w:r>
      <w:rPr>
        <w:rFonts w:ascii="Times New Roman" w:hAnsi="Times New Roman" w:cs="Times New Roman" w:eastAsia="Times New Roman"/>
      </w:rPr>
    </w:r>
    <w:r/>
  </w:p>
  <w:p>
    <w:pPr>
      <w:pStyle w:val="799"/>
    </w:pPr>
    <w:r/>
    <w:r/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 w:hint="default"/>
        <w:szCs w:val="22"/>
        <w:lang w:val="en-US" w:bidi="ar-SA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2">
    <w:name w:val="footnote reference"/>
    <w:basedOn w:val="788"/>
    <w:uiPriority w:val="99"/>
    <w:unhideWhenUsed/>
    <w:rPr>
      <w:vertAlign w:val="superscript"/>
    </w:rPr>
  </w:style>
  <w:style w:type="character" w:styleId="753">
    <w:name w:val="endnote reference"/>
    <w:basedOn w:val="788"/>
    <w:uiPriority w:val="99"/>
    <w:semiHidden/>
    <w:unhideWhenUsed/>
    <w:rPr>
      <w:vertAlign w:val="superscript"/>
    </w:rPr>
  </w:style>
  <w:style w:type="paragraph" w:styleId="754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pPr>
      <w:jc w:val="left"/>
      <w:spacing w:before="0" w:beforeAutospacing="0" w:after="200" w:afterAutospacing="0" w:line="276" w:lineRule="auto"/>
      <w:widowControl/>
    </w:pPr>
    <w:rPr>
      <w:rFonts w:ascii="Arial" w:hAnsi="Arial" w:cs="Arial" w:eastAsia="Arial"/>
      <w:color w:val="auto"/>
      <w:sz w:val="22"/>
      <w:szCs w:val="22"/>
      <w:lang w:val="en-US" w:bidi="ar-SA" w:eastAsia="en-US"/>
    </w:rPr>
  </w:style>
  <w:style w:type="paragraph" w:styleId="756">
    <w:name w:val="Heading 1"/>
    <w:basedOn w:val="75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paragraph" w:styleId="757">
    <w:name w:val="Heading 2"/>
    <w:basedOn w:val="75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paragraph" w:styleId="758">
    <w:name w:val="Heading 3"/>
    <w:basedOn w:val="75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paragraph" w:styleId="759">
    <w:name w:val="Heading 4"/>
    <w:basedOn w:val="75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paragraph" w:styleId="760">
    <w:name w:val="Heading 5"/>
    <w:basedOn w:val="7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paragraph" w:styleId="761">
    <w:name w:val="Heading 6"/>
    <w:basedOn w:val="7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paragraph" w:styleId="762">
    <w:name w:val="Heading 7"/>
    <w:basedOn w:val="7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paragraph" w:styleId="763">
    <w:name w:val="Heading 8"/>
    <w:basedOn w:val="7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paragraph" w:styleId="764">
    <w:name w:val="Heading 9"/>
    <w:basedOn w:val="7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65">
    <w:name w:val="Footnote Characters"/>
    <w:basedOn w:val="788"/>
    <w:uiPriority w:val="99"/>
    <w:unhideWhenUsed/>
    <w:qFormat/>
    <w:rPr>
      <w:vertAlign w:val="superscript"/>
    </w:rPr>
  </w:style>
  <w:style w:type="character" w:styleId="766">
    <w:name w:val="Footnote Anchor"/>
    <w:rPr>
      <w:vertAlign w:val="superscript"/>
    </w:rPr>
  </w:style>
  <w:style w:type="character" w:styleId="767">
    <w:name w:val="Endnote Characters"/>
    <w:basedOn w:val="788"/>
    <w:uiPriority w:val="99"/>
    <w:semiHidden/>
    <w:unhideWhenUsed/>
    <w:qFormat/>
    <w:rPr>
      <w:vertAlign w:val="superscript"/>
    </w:rPr>
  </w:style>
  <w:style w:type="character" w:styleId="768">
    <w:name w:val="Endnote Anchor"/>
    <w:rPr>
      <w:vertAlign w:val="superscript"/>
    </w:rPr>
  </w:style>
  <w:style w:type="character" w:styleId="769">
    <w:name w:val="Heading 1 Char"/>
    <w:uiPriority w:val="9"/>
    <w:qFormat/>
    <w:rPr>
      <w:rFonts w:ascii="Arial" w:hAnsi="Arial" w:cs="Arial" w:eastAsia="Arial"/>
      <w:sz w:val="40"/>
      <w:szCs w:val="40"/>
    </w:rPr>
  </w:style>
  <w:style w:type="character" w:styleId="770">
    <w:name w:val="Heading 2 Char"/>
    <w:uiPriority w:val="9"/>
    <w:qFormat/>
    <w:rPr>
      <w:rFonts w:ascii="Arial" w:hAnsi="Arial" w:cs="Arial" w:eastAsia="Arial"/>
      <w:sz w:val="34"/>
    </w:rPr>
  </w:style>
  <w:style w:type="character" w:styleId="771">
    <w:name w:val="Heading 3 Char"/>
    <w:uiPriority w:val="9"/>
    <w:qFormat/>
    <w:rPr>
      <w:rFonts w:ascii="Arial" w:hAnsi="Arial" w:cs="Arial" w:eastAsia="Arial"/>
      <w:sz w:val="30"/>
      <w:szCs w:val="30"/>
    </w:rPr>
  </w:style>
  <w:style w:type="character" w:styleId="772">
    <w:name w:val="Heading 4 Char"/>
    <w:uiPriority w:val="9"/>
    <w:qFormat/>
    <w:rPr>
      <w:rFonts w:ascii="Arial" w:hAnsi="Arial" w:cs="Arial" w:eastAsia="Arial"/>
      <w:b/>
      <w:bCs/>
      <w:sz w:val="26"/>
      <w:szCs w:val="26"/>
    </w:rPr>
  </w:style>
  <w:style w:type="character" w:styleId="773">
    <w:name w:val="Heading 5 Char"/>
    <w:uiPriority w:val="9"/>
    <w:qFormat/>
    <w:rPr>
      <w:rFonts w:ascii="Arial" w:hAnsi="Arial" w:cs="Arial" w:eastAsia="Arial"/>
      <w:b/>
      <w:bCs/>
      <w:sz w:val="24"/>
      <w:szCs w:val="24"/>
    </w:rPr>
  </w:style>
  <w:style w:type="character" w:styleId="774">
    <w:name w:val="Heading 6 Char"/>
    <w:uiPriority w:val="9"/>
    <w:qFormat/>
    <w:rPr>
      <w:rFonts w:ascii="Arial" w:hAnsi="Arial" w:cs="Arial" w:eastAsia="Arial"/>
      <w:b/>
      <w:bCs/>
      <w:sz w:val="22"/>
      <w:szCs w:val="22"/>
    </w:rPr>
  </w:style>
  <w:style w:type="character" w:styleId="775">
    <w:name w:val="Heading 7 Char"/>
    <w:uiPriority w:val="9"/>
    <w:qFormat/>
    <w:rPr>
      <w:rFonts w:ascii="Arial" w:hAnsi="Arial" w:cs="Arial" w:eastAsia="Arial"/>
      <w:b/>
      <w:bCs/>
      <w:i/>
      <w:iCs/>
      <w:sz w:val="22"/>
      <w:szCs w:val="22"/>
    </w:rPr>
  </w:style>
  <w:style w:type="character" w:styleId="776">
    <w:name w:val="Heading 8 Char"/>
    <w:uiPriority w:val="9"/>
    <w:qFormat/>
    <w:rPr>
      <w:rFonts w:ascii="Arial" w:hAnsi="Arial" w:cs="Arial" w:eastAsia="Arial"/>
      <w:i/>
      <w:iCs/>
      <w:sz w:val="22"/>
      <w:szCs w:val="22"/>
    </w:rPr>
  </w:style>
  <w:style w:type="character" w:styleId="777">
    <w:name w:val="Heading 9 Char"/>
    <w:uiPriority w:val="9"/>
    <w:qFormat/>
    <w:rPr>
      <w:rFonts w:ascii="Arial" w:hAnsi="Arial" w:cs="Arial" w:eastAsia="Arial"/>
      <w:i/>
      <w:iCs/>
      <w:sz w:val="21"/>
      <w:szCs w:val="21"/>
    </w:rPr>
  </w:style>
  <w:style w:type="character" w:styleId="778">
    <w:name w:val="Title Char"/>
    <w:uiPriority w:val="10"/>
    <w:qFormat/>
    <w:rPr>
      <w:sz w:val="48"/>
      <w:szCs w:val="48"/>
    </w:rPr>
  </w:style>
  <w:style w:type="character" w:styleId="779">
    <w:name w:val="Subtitle Char"/>
    <w:uiPriority w:val="11"/>
    <w:qFormat/>
    <w:rPr>
      <w:sz w:val="24"/>
      <w:szCs w:val="24"/>
    </w:rPr>
  </w:style>
  <w:style w:type="character" w:styleId="780">
    <w:name w:val="Quote Char"/>
    <w:uiPriority w:val="29"/>
    <w:qFormat/>
    <w:rPr>
      <w:i/>
    </w:rPr>
  </w:style>
  <w:style w:type="character" w:styleId="781">
    <w:name w:val="Intense Quote Char"/>
    <w:uiPriority w:val="30"/>
    <w:qFormat/>
    <w:rPr>
      <w:i/>
    </w:rPr>
  </w:style>
  <w:style w:type="character" w:styleId="782">
    <w:name w:val="Header Char"/>
    <w:uiPriority w:val="99"/>
    <w:qFormat/>
  </w:style>
  <w:style w:type="character" w:styleId="783">
    <w:name w:val="Footer Char"/>
    <w:uiPriority w:val="99"/>
    <w:qFormat/>
  </w:style>
  <w:style w:type="character" w:styleId="784">
    <w:name w:val="Caption Char"/>
    <w:uiPriority w:val="99"/>
    <w:qFormat/>
  </w:style>
  <w:style w:type="character" w:styleId="785">
    <w:name w:val="Hyperlink"/>
    <w:uiPriority w:val="99"/>
    <w:unhideWhenUsed/>
    <w:rPr>
      <w:color w:val="0000FF" w:themeColor="hyperlink"/>
      <w:u w:val="single"/>
    </w:rPr>
  </w:style>
  <w:style w:type="character" w:styleId="786">
    <w:name w:val="Footnote Text Char"/>
    <w:uiPriority w:val="99"/>
    <w:qFormat/>
    <w:rPr>
      <w:sz w:val="18"/>
    </w:rPr>
  </w:style>
  <w:style w:type="character" w:styleId="787">
    <w:name w:val="Endnote Text Char"/>
    <w:uiPriority w:val="99"/>
    <w:qFormat/>
    <w:rPr>
      <w:sz w:val="20"/>
    </w:rPr>
  </w:style>
  <w:style w:type="character" w:styleId="788" w:default="1">
    <w:name w:val="Default Paragraph Font"/>
    <w:uiPriority w:val="1"/>
    <w:semiHidden/>
    <w:unhideWhenUsed/>
    <w:qFormat/>
  </w:style>
  <w:style w:type="paragraph" w:styleId="789">
    <w:name w:val="Heading"/>
    <w:basedOn w:val="755"/>
    <w:next w:val="790"/>
    <w:qFormat/>
    <w:pPr>
      <w:keepNext/>
      <w:spacing w:before="240" w:after="120"/>
    </w:pPr>
    <w:rPr>
      <w:rFonts w:ascii="Liberation Sans" w:hAnsi="Liberation Sans" w:cs="Lohit Devanagari" w:eastAsia="Noto Sans CJK SC"/>
      <w:sz w:val="28"/>
      <w:szCs w:val="28"/>
    </w:rPr>
  </w:style>
  <w:style w:type="paragraph" w:styleId="790">
    <w:name w:val="Body Text"/>
    <w:basedOn w:val="755"/>
    <w:pPr>
      <w:spacing w:before="0" w:after="140" w:line="276" w:lineRule="auto"/>
    </w:pPr>
  </w:style>
  <w:style w:type="paragraph" w:styleId="791">
    <w:name w:val="List"/>
    <w:basedOn w:val="790"/>
    <w:rPr>
      <w:rFonts w:cs="Lohit Devanagari"/>
    </w:rPr>
  </w:style>
  <w:style w:type="paragraph" w:styleId="792">
    <w:name w:val="Caption"/>
    <w:basedOn w:val="75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793">
    <w:name w:val="Index"/>
    <w:basedOn w:val="755"/>
    <w:qFormat/>
    <w:pPr>
      <w:suppressLineNumbers/>
    </w:pPr>
    <w:rPr>
      <w:rFonts w:cs="Lohit Devanagari"/>
    </w:rPr>
  </w:style>
  <w:style w:type="paragraph" w:styleId="794">
    <w:name w:val="Title"/>
    <w:basedOn w:val="755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795">
    <w:name w:val="Subtitle"/>
    <w:basedOn w:val="755"/>
    <w:uiPriority w:val="11"/>
    <w:qFormat/>
    <w:pPr>
      <w:spacing w:before="200" w:after="200"/>
    </w:pPr>
    <w:rPr>
      <w:sz w:val="24"/>
      <w:szCs w:val="24"/>
    </w:rPr>
  </w:style>
  <w:style w:type="paragraph" w:styleId="796">
    <w:name w:val="Quote"/>
    <w:basedOn w:val="755"/>
    <w:uiPriority w:val="29"/>
    <w:qFormat/>
    <w:pPr>
      <w:ind w:left="720" w:right="720" w:firstLine="0"/>
    </w:pPr>
    <w:rPr>
      <w:i/>
    </w:rPr>
  </w:style>
  <w:style w:type="paragraph" w:styleId="797">
    <w:name w:val="Intense Quote"/>
    <w:basedOn w:val="755"/>
    <w:uiPriority w:val="30"/>
    <w:qFormat/>
    <w:pPr>
      <w:ind w:left="720" w:right="720" w:firstLine="0"/>
      <w:spacing w:before="0" w:after="20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798">
    <w:name w:val="Header and Footer"/>
    <w:basedOn w:val="755"/>
    <w:qFormat/>
  </w:style>
  <w:style w:type="paragraph" w:styleId="799">
    <w:name w:val="Header"/>
    <w:basedOn w:val="755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800">
    <w:name w:val="Footer"/>
    <w:basedOn w:val="755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801">
    <w:name w:val="footnote text"/>
    <w:basedOn w:val="755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802">
    <w:name w:val="endnote text"/>
    <w:basedOn w:val="755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803">
    <w:name w:val="toc 1"/>
    <w:basedOn w:val="755"/>
    <w:uiPriority w:val="39"/>
    <w:unhideWhenUsed/>
    <w:pPr>
      <w:ind w:left="0" w:right="0" w:firstLine="0"/>
      <w:spacing w:before="0" w:after="57"/>
    </w:pPr>
  </w:style>
  <w:style w:type="paragraph" w:styleId="804">
    <w:name w:val="toc 2"/>
    <w:basedOn w:val="755"/>
    <w:uiPriority w:val="39"/>
    <w:unhideWhenUsed/>
    <w:pPr>
      <w:ind w:left="283" w:right="0" w:firstLine="0"/>
      <w:spacing w:before="0" w:after="57"/>
    </w:pPr>
  </w:style>
  <w:style w:type="paragraph" w:styleId="805">
    <w:name w:val="toc 3"/>
    <w:basedOn w:val="755"/>
    <w:uiPriority w:val="39"/>
    <w:unhideWhenUsed/>
    <w:pPr>
      <w:ind w:left="567" w:right="0" w:firstLine="0"/>
      <w:spacing w:before="0" w:after="57"/>
    </w:pPr>
  </w:style>
  <w:style w:type="paragraph" w:styleId="806">
    <w:name w:val="toc 4"/>
    <w:basedOn w:val="755"/>
    <w:uiPriority w:val="39"/>
    <w:unhideWhenUsed/>
    <w:pPr>
      <w:ind w:left="850" w:right="0" w:firstLine="0"/>
      <w:spacing w:before="0" w:after="57"/>
    </w:pPr>
  </w:style>
  <w:style w:type="paragraph" w:styleId="807">
    <w:name w:val="toc 5"/>
    <w:basedOn w:val="755"/>
    <w:uiPriority w:val="39"/>
    <w:unhideWhenUsed/>
    <w:pPr>
      <w:ind w:left="1134" w:right="0" w:firstLine="0"/>
      <w:spacing w:before="0" w:after="57"/>
    </w:pPr>
  </w:style>
  <w:style w:type="paragraph" w:styleId="808">
    <w:name w:val="toc 6"/>
    <w:basedOn w:val="755"/>
    <w:uiPriority w:val="39"/>
    <w:unhideWhenUsed/>
    <w:pPr>
      <w:ind w:left="1417" w:right="0" w:firstLine="0"/>
      <w:spacing w:before="0" w:after="57"/>
    </w:pPr>
  </w:style>
  <w:style w:type="paragraph" w:styleId="809">
    <w:name w:val="toc 7"/>
    <w:basedOn w:val="755"/>
    <w:uiPriority w:val="39"/>
    <w:unhideWhenUsed/>
    <w:pPr>
      <w:ind w:left="1701" w:right="0" w:firstLine="0"/>
      <w:spacing w:before="0" w:after="57"/>
    </w:pPr>
  </w:style>
  <w:style w:type="paragraph" w:styleId="810">
    <w:name w:val="toc 8"/>
    <w:basedOn w:val="755"/>
    <w:uiPriority w:val="39"/>
    <w:unhideWhenUsed/>
    <w:pPr>
      <w:ind w:left="1984" w:right="0" w:firstLine="0"/>
      <w:spacing w:before="0" w:after="57"/>
    </w:pPr>
  </w:style>
  <w:style w:type="paragraph" w:styleId="811">
    <w:name w:val="toc 9"/>
    <w:basedOn w:val="755"/>
    <w:uiPriority w:val="39"/>
    <w:unhideWhenUsed/>
    <w:pPr>
      <w:ind w:left="2268" w:right="0" w:firstLine="0"/>
      <w:spacing w:before="0" w:after="57"/>
    </w:pPr>
  </w:style>
  <w:style w:type="paragraph" w:styleId="812">
    <w:name w:val="TOC Heading"/>
    <w:uiPriority w:val="39"/>
    <w:unhideWhenUsed/>
    <w:qFormat/>
    <w:pPr>
      <w:jc w:val="left"/>
      <w:spacing w:before="0" w:beforeAutospacing="0" w:after="200" w:afterAutospacing="0" w:line="276" w:lineRule="auto"/>
      <w:widowControl/>
    </w:pPr>
    <w:rPr>
      <w:rFonts w:ascii="Arial" w:hAnsi="Arial" w:cs="Arial" w:eastAsia="Arial"/>
      <w:color w:val="auto"/>
      <w:sz w:val="22"/>
      <w:szCs w:val="22"/>
      <w:lang w:val="en-US" w:bidi="ar-SA" w:eastAsia="en-US"/>
    </w:rPr>
  </w:style>
  <w:style w:type="paragraph" w:styleId="813">
    <w:name w:val="No Spacing"/>
    <w:basedOn w:val="755"/>
    <w:uiPriority w:val="1"/>
    <w:qFormat/>
    <w:pPr>
      <w:spacing w:before="0" w:after="0" w:line="240" w:lineRule="auto"/>
    </w:pPr>
  </w:style>
  <w:style w:type="paragraph" w:styleId="814">
    <w:name w:val="List Paragraph"/>
    <w:basedOn w:val="755"/>
    <w:uiPriority w:val="34"/>
    <w:qFormat/>
    <w:pPr>
      <w:contextualSpacing/>
      <w:ind w:left="720" w:firstLine="0"/>
      <w:spacing w:before="0" w:after="200"/>
    </w:pPr>
  </w:style>
  <w:style w:type="numbering" w:styleId="815" w:default="1">
    <w:name w:val="No List"/>
    <w:uiPriority w:val="99"/>
    <w:semiHidden/>
    <w:unhideWhenUsed/>
    <w:qFormat/>
  </w:style>
  <w:style w:type="table" w:styleId="81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0"/>
      </w:tcPr>
    </w:tblStylePr>
    <w:tblStylePr w:type="band1Vert">
      <w:tcPr>
        <w:shd w:val="clear" w:color="ffffff" w:fill="ffffff" w:themeFill="text1" w:themeFillTint="0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81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82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</w:tcBorders>
      </w:tcPr>
    </w:tblStylePr>
  </w:style>
  <w:style w:type="table" w:styleId="84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</w:tcBorders>
      </w:tcPr>
    </w:tblStylePr>
  </w:style>
  <w:style w:type="table" w:styleId="84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</w:tcBorders>
      </w:tcPr>
    </w:tblStylePr>
  </w:style>
  <w:style w:type="table" w:styleId="84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</w:tcBorders>
      </w:tcPr>
    </w:tblStylePr>
  </w:style>
  <w:style w:type="table" w:styleId="84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5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85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85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85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85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85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85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85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color w:val="404040" w:themeColor="text1" w:themeTint="80" w:themeShade="95"/>
        <w:sz w:val="22"/>
      </w:rPr>
    </w:tblStylePr>
  </w:style>
  <w:style w:type="table" w:styleId="85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color w:val="404040" w:themeColor="accent1" w:themeTint="80" w:themeShade="95"/>
        <w:sz w:val="22"/>
      </w:rPr>
    </w:tblStylePr>
  </w:style>
  <w:style w:type="table" w:styleId="86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color w:val="404040" w:themeColor="accent2" w:themeTint="97" w:themeShade="95"/>
        <w:sz w:val="22"/>
      </w:rPr>
    </w:tblStylePr>
  </w:style>
  <w:style w:type="table" w:styleId="86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color w:val="404040" w:themeColor="accent3" w:themeTint="FE" w:themeShade="95"/>
        <w:sz w:val="22"/>
      </w:rPr>
    </w:tblStylePr>
  </w:style>
  <w:style w:type="table" w:styleId="86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color w:val="404040" w:themeColor="accent4" w:themeTint="9A" w:themeShade="95"/>
        <w:sz w:val="22"/>
      </w:rPr>
    </w:tblStylePr>
  </w:style>
  <w:style w:type="table" w:styleId="86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color w:val="404040" w:themeColor="accent5" w:themeShade="95"/>
        <w:sz w:val="22"/>
      </w:rPr>
    </w:tblStylePr>
  </w:style>
  <w:style w:type="table" w:styleId="86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color w:val="404040" w:themeColor="accent5" w:themeShade="95"/>
        <w:sz w:val="22"/>
      </w:rPr>
    </w:tblStylePr>
  </w:style>
  <w:style w:type="table" w:styleId="86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ffffff" w:themeFill="text1" w:themeFillTint="00"/>
      </w:tcPr>
    </w:tblStylePr>
    <w:tblStylePr w:type="band1Vert">
      <w:tcPr>
        <w:shd w:val="clear" w:color="ffffff" w:fill="ffffff" w:themeFill="text1" w:themeFillTint="0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317BBA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color w:val="317BBA" w:themeColor="accent1" w:themeTint="80" w:themeShade="95"/>
        <w:sz w:val="22"/>
      </w:rPr>
    </w:tblStylePr>
    <w:tblStylePr w:type="firstCol">
      <w:rPr>
        <w:i/>
        <w:color w:val="317BBA" w:themeColor="accent1" w:themeTint="80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317BBA" w:themeColor="accent1" w:themeTint="80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color w:val="C95712" w:themeColor="accent2" w:themeTint="97" w:themeShade="95"/>
        <w:sz w:val="22"/>
      </w:rPr>
    </w:tblStylePr>
    <w:tblStylePr w:type="firstCol">
      <w:rPr>
        <w:i/>
        <w:color w:val="C95712" w:themeColor="accent2" w:themeTint="97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C95712" w:themeColor="accent2" w:themeTint="97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60606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color w:val="606060" w:themeColor="accent3" w:themeTint="FE" w:themeShade="95"/>
        <w:sz w:val="22"/>
      </w:rPr>
    </w:tblStylePr>
    <w:tblStylePr w:type="firstCol">
      <w:rPr>
        <w:i/>
        <w:color w:val="606060" w:themeColor="accent3" w:themeTint="FE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606060" w:themeColor="accent3" w:themeTint="FE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color w:val="CD9600" w:themeColor="accent4" w:themeTint="9A" w:themeShade="95"/>
        <w:sz w:val="22"/>
      </w:rPr>
    </w:tblStylePr>
    <w:tblStylePr w:type="firstCol">
      <w:rPr>
        <w:i/>
        <w:color w:val="CD9600" w:themeColor="accent4" w:themeTint="9A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CD9600" w:themeColor="accent4" w:themeTint="9A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254374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color w:val="254374" w:themeColor="accent5" w:themeShade="95"/>
        <w:sz w:val="22"/>
      </w:rPr>
    </w:tblStylePr>
    <w:tblStylePr w:type="firstCol">
      <w:rPr>
        <w:i/>
        <w:color w:val="254374" w:themeColor="accent5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254374" w:themeColor="accent5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26429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color w:val="426429" w:themeColor="accent6" w:themeShade="95"/>
        <w:sz w:val="22"/>
      </w:rPr>
    </w:tblStylePr>
    <w:tblStylePr w:type="firstCol">
      <w:rPr>
        <w:i/>
        <w:color w:val="426429" w:themeColor="accent6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426429" w:themeColor="accent6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88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88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88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88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88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88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88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sz="4" w:space="0"/>
        </w:tcBorders>
      </w:tcPr>
    </w:tblStylePr>
  </w:style>
  <w:style w:type="table" w:styleId="90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sz="4" w:space="0"/>
        </w:tcBorders>
      </w:tcPr>
    </w:tblStylePr>
  </w:style>
  <w:style w:type="table" w:styleId="91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sz="4" w:space="0"/>
        </w:tcBorders>
      </w:tcPr>
    </w:tblStylePr>
  </w:style>
  <w:style w:type="table" w:styleId="91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sz="4" w:space="0"/>
        </w:tcBorders>
      </w:tcPr>
    </w:tblStylePr>
  </w:style>
  <w:style w:type="table" w:styleId="91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sz="4" w:space="0"/>
        </w:tcBorders>
      </w:tcPr>
    </w:tblStylePr>
  </w:style>
  <w:style w:type="table" w:styleId="91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sz="4" w:space="0"/>
        </w:tcBorders>
      </w:tcPr>
    </w:tblStylePr>
  </w:style>
  <w:style w:type="table" w:styleId="91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4A4A4A" w:themeColor="text1" w:themeTint="80" w:themeShade="95"/>
        <w:sz w:val="22"/>
      </w:rPr>
    </w:tblStylePr>
  </w:style>
  <w:style w:type="table" w:styleId="91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color w:val="245D8D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color w:val="245D8D" w:themeColor="accent1" w:themeShade="95"/>
        <w:sz w:val="22"/>
      </w:rPr>
    </w:tblStylePr>
    <w:tblStylePr w:type="firstCol">
      <w:rPr>
        <w:i/>
        <w:color w:val="245D8D" w:themeColor="accent1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245D8D" w:themeColor="accent1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245D8D" w:themeColor="accent1" w:themeShade="95"/>
        <w:sz w:val="22"/>
      </w:rPr>
    </w:tblStylePr>
  </w:style>
  <w:style w:type="table" w:styleId="91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color w:val="C95712" w:themeColor="accent2" w:themeTint="97" w:themeShade="95"/>
        <w:sz w:val="22"/>
      </w:rPr>
    </w:tblStylePr>
    <w:tblStylePr w:type="firstCol">
      <w:rPr>
        <w:i/>
        <w:color w:val="C95712" w:themeColor="accent2" w:themeTint="97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C95712" w:themeColor="accent2" w:themeTint="97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C95712" w:themeColor="accent2" w:themeTint="97" w:themeShade="95"/>
        <w:sz w:val="22"/>
      </w:rPr>
    </w:tblStylePr>
  </w:style>
  <w:style w:type="table" w:styleId="91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color w:val="757575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color w:val="757575" w:themeColor="accent3" w:themeTint="98" w:themeShade="95"/>
        <w:sz w:val="22"/>
      </w:rPr>
    </w:tblStylePr>
    <w:tblStylePr w:type="firstCol">
      <w:rPr>
        <w:i/>
        <w:color w:val="757575" w:themeColor="accent3" w:themeTint="98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757575" w:themeColor="accent3" w:themeTint="98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757575" w:themeColor="accent3" w:themeTint="98" w:themeShade="95"/>
        <w:sz w:val="22"/>
      </w:rPr>
    </w:tblStylePr>
  </w:style>
  <w:style w:type="table" w:styleId="91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color w:val="CD9600" w:themeColor="accent4" w:themeTint="9A" w:themeShade="95"/>
        <w:sz w:val="22"/>
      </w:rPr>
    </w:tblStylePr>
    <w:tblStylePr w:type="firstCol">
      <w:rPr>
        <w:i/>
        <w:color w:val="CD9600" w:themeColor="accent4" w:themeTint="9A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CD9600" w:themeColor="accent4" w:themeTint="9A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CD9600" w:themeColor="accent4" w:themeTint="9A" w:themeShade="95"/>
        <w:sz w:val="22"/>
      </w:rPr>
    </w:tblStylePr>
  </w:style>
  <w:style w:type="table" w:styleId="91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color w:val="335E9E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color w:val="335E9E" w:themeColor="accent5" w:themeTint="9A" w:themeShade="95"/>
        <w:sz w:val="22"/>
      </w:rPr>
    </w:tblStylePr>
    <w:tblStylePr w:type="firstCol">
      <w:rPr>
        <w:i/>
        <w:color w:val="335E9E" w:themeColor="accent5" w:themeTint="9A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335E9E" w:themeColor="accent5" w:themeTint="9A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335E9E" w:themeColor="accent5" w:themeTint="9A" w:themeShade="95"/>
        <w:sz w:val="22"/>
      </w:rPr>
    </w:tblStylePr>
  </w:style>
  <w:style w:type="table" w:styleId="92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color w:val="5F8F3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color w:val="5F8F3C" w:themeColor="accent6" w:themeTint="98" w:themeShade="95"/>
        <w:sz w:val="22"/>
      </w:rPr>
    </w:tblStylePr>
    <w:tblStylePr w:type="firstCol">
      <w:rPr>
        <w:i/>
        <w:color w:val="5F8F3C" w:themeColor="accent6" w:themeTint="98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5F8F3C" w:themeColor="accent6" w:themeTint="98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5F8F3C" w:themeColor="accent6" w:themeTint="98" w:themeShade="95"/>
        <w:sz w:val="22"/>
      </w:rPr>
    </w:tblStylePr>
  </w:style>
  <w:style w:type="table" w:styleId="92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2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92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92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92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92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92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5"/>
      </w:tcPr>
    </w:tblStylePr>
    <w:tblStylePr w:type="firstRow">
      <w:rPr>
        <w:color w:val="F2F2F2"/>
        <w:sz w:val="22"/>
      </w:rPr>
      <w:tcPr>
        <w:shd w:val="clear" w:color="ffffff" w:fill="ffffff" w:themeFill="accent5"/>
      </w:tcPr>
    </w:tblStylePr>
    <w:tblStylePr w:type="lastCol">
      <w:rPr>
        <w:color w:val="F2F2F2"/>
        <w:sz w:val="22"/>
      </w:rPr>
      <w:tcPr>
        <w:shd w:val="clear" w:color="ffffff" w:fill="ffffff" w:themeFill="accent5"/>
      </w:tcPr>
    </w:tblStylePr>
    <w:tblStylePr w:type="lastRow">
      <w:rPr>
        <w:color w:val="F2F2F2"/>
        <w:sz w:val="22"/>
      </w:rPr>
      <w:tcPr>
        <w:shd w:val="clear" w:color="ffffff" w:fill="ffffff" w:themeFill="accent5"/>
      </w:tcPr>
    </w:tblStylePr>
  </w:style>
  <w:style w:type="table" w:styleId="92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6"/>
      </w:tcPr>
    </w:tblStylePr>
    <w:tblStylePr w:type="firstRow">
      <w:rPr>
        <w:color w:val="F2F2F2"/>
        <w:sz w:val="22"/>
      </w:rPr>
      <w:tcPr>
        <w:shd w:val="clear" w:color="ffffff" w:fill="ffffff" w:themeFill="accent6"/>
      </w:tcPr>
    </w:tblStylePr>
    <w:tblStylePr w:type="lastCol">
      <w:rPr>
        <w:color w:val="F2F2F2"/>
        <w:sz w:val="22"/>
      </w:rPr>
      <w:tcPr>
        <w:shd w:val="clear" w:color="ffffff" w:fill="ffffff" w:themeFill="accent6"/>
      </w:tcPr>
    </w:tblStylePr>
    <w:tblStylePr w:type="lastRow">
      <w:rPr>
        <w:color w:val="F2F2F2"/>
        <w:sz w:val="22"/>
      </w:rPr>
      <w:tcPr>
        <w:shd w:val="clear" w:color="ffffff" w:fill="ffffff" w:themeFill="accent6"/>
      </w:tcPr>
    </w:tblStylePr>
  </w:style>
  <w:style w:type="table" w:styleId="92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2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92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93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93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93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93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5"/>
      </w:tcPr>
    </w:tblStylePr>
    <w:tblStylePr w:type="firstRow">
      <w:rPr>
        <w:color w:val="F2F2F2"/>
        <w:sz w:val="22"/>
      </w:rPr>
      <w:tcPr>
        <w:shd w:val="clear" w:color="ffffff" w:fill="ffffff" w:themeFill="accent5"/>
      </w:tcPr>
    </w:tblStylePr>
    <w:tblStylePr w:type="lastCol">
      <w:rPr>
        <w:color w:val="F2F2F2"/>
        <w:sz w:val="22"/>
      </w:rPr>
      <w:tcPr>
        <w:shd w:val="clear" w:color="ffffff" w:fill="ffffff" w:themeFill="accent5"/>
      </w:tcPr>
    </w:tblStylePr>
    <w:tblStylePr w:type="lastRow">
      <w:rPr>
        <w:color w:val="F2F2F2"/>
        <w:sz w:val="22"/>
      </w:rPr>
      <w:tcPr>
        <w:shd w:val="clear" w:color="ffffff" w:fill="ffffff" w:themeFill="accent5"/>
      </w:tcPr>
    </w:tblStylePr>
  </w:style>
  <w:style w:type="table" w:styleId="93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6"/>
      </w:tcPr>
    </w:tblStylePr>
    <w:tblStylePr w:type="firstRow">
      <w:rPr>
        <w:color w:val="F2F2F2"/>
        <w:sz w:val="22"/>
      </w:rPr>
      <w:tcPr>
        <w:shd w:val="clear" w:color="ffffff" w:fill="ffffff" w:themeFill="accent6"/>
      </w:tcPr>
    </w:tblStylePr>
    <w:tblStylePr w:type="lastCol">
      <w:rPr>
        <w:color w:val="F2F2F2"/>
        <w:sz w:val="22"/>
      </w:rPr>
      <w:tcPr>
        <w:shd w:val="clear" w:color="ffffff" w:fill="ffffff" w:themeFill="accent6"/>
      </w:tcPr>
    </w:tblStylePr>
    <w:tblStylePr w:type="lastRow">
      <w:rPr>
        <w:color w:val="F2F2F2"/>
        <w:sz w:val="22"/>
      </w:rPr>
      <w:tcPr>
        <w:shd w:val="clear" w:color="ffffff" w:fill="ffffff" w:themeFill="accent6"/>
      </w:tcPr>
    </w:tblStylePr>
  </w:style>
  <w:style w:type="table" w:styleId="93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tex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tex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text1" w:sz="12" w:space="0"/>
        </w:tcBorders>
      </w:tcPr>
    </w:tblStylePr>
  </w:style>
  <w:style w:type="table" w:styleId="93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2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2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2" w:sz="12" w:space="0"/>
        </w:tcBorders>
      </w:tcPr>
    </w:tblStylePr>
  </w:style>
  <w:style w:type="table" w:styleId="93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3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3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3" w:sz="12" w:space="0"/>
        </w:tcBorders>
      </w:tcPr>
    </w:tblStylePr>
  </w:style>
  <w:style w:type="table" w:styleId="93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4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4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4" w:sz="12" w:space="0"/>
        </w:tcBorders>
      </w:tcPr>
    </w:tblStylePr>
  </w:style>
  <w:style w:type="table" w:styleId="94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5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5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5" w:sz="12" w:space="0"/>
        </w:tcBorders>
      </w:tcPr>
    </w:tblStylePr>
  </w:style>
  <w:style w:type="table" w:styleId="94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6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6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6" w:sz="12" w:space="0"/>
        </w:tcBorders>
      </w:tcPr>
    </w:tblStylePr>
  </w:style>
  <w:style w:type="table" w:styleId="94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footer" Target="footer3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onlyoffice/7.1.0.58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en-US</dc:language>
  <cp:lastModifiedBy>Безай Юлия Викторович</cp:lastModifiedBy>
  <cp:revision>15</cp:revision>
  <dcterms:modified xsi:type="dcterms:W3CDTF">2026-10-19T11:11:42Z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