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F2A49">
      <w:pPr>
        <w:jc w:val="center"/>
        <w:rPr>
          <w:b/>
          <w:bCs/>
          <w:color w:val="000000"/>
          <w:sz w:val="22"/>
          <w:szCs w:val="22"/>
          <w:lang w:val="kk-KZ"/>
        </w:rPr>
      </w:pPr>
    </w:p>
    <w:p w14:paraId="3B42A02B">
      <w:pPr>
        <w:jc w:val="center"/>
        <w:rPr>
          <w:color w:val="000000"/>
          <w:sz w:val="22"/>
          <w:szCs w:val="22"/>
          <w:lang w:val="kk-KZ"/>
        </w:rPr>
      </w:pPr>
      <w:r>
        <w:rPr>
          <w:b/>
          <w:bCs/>
          <w:color w:val="000000"/>
          <w:sz w:val="22"/>
          <w:szCs w:val="22"/>
          <w:lang w:val="kk-KZ"/>
        </w:rPr>
        <w:t>ТЕХНИКАЛЫҚ СИПАТТАМА САҚТАНДЫРУ БОЙЫНША ҚЫЗМЕТТЕРДІ САТЫП АЛУДЫ ЖҮРГІЗУ ҮШІН</w:t>
      </w:r>
    </w:p>
    <w:p w14:paraId="01CFF5E7">
      <w:pPr>
        <w:jc w:val="center"/>
        <w:rPr>
          <w:color w:val="000000"/>
          <w:sz w:val="22"/>
          <w:szCs w:val="22"/>
          <w:lang w:val="kk-KZ"/>
        </w:rPr>
      </w:pPr>
      <w:r>
        <w:rPr>
          <w:b/>
          <w:color w:val="000000"/>
          <w:sz w:val="22"/>
          <w:szCs w:val="22"/>
          <w:lang w:val="kk-KZ"/>
        </w:rPr>
        <w:t>Жазатайым оқиғалардан (қызметкер еңбек (қызметтік) міндеттерін атқарған кезде оны жазатайым оқиғалардан міндетті сақтандыру туралы)</w:t>
      </w:r>
      <w:r>
        <w:rPr>
          <w:color w:val="000000"/>
          <w:sz w:val="22"/>
          <w:szCs w:val="22"/>
          <w:lang w:val="kk-KZ"/>
        </w:rPr>
        <w:t xml:space="preserve">. </w:t>
      </w:r>
    </w:p>
    <w:p w14:paraId="0212C5F8">
      <w:pPr>
        <w:jc w:val="center"/>
        <w:rPr>
          <w:color w:val="000000"/>
          <w:sz w:val="22"/>
          <w:szCs w:val="22"/>
          <w:lang w:val="kk-KZ"/>
        </w:rPr>
      </w:pPr>
    </w:p>
    <w:p w14:paraId="57FDB792">
      <w:pPr>
        <w:rPr>
          <w:color w:val="333333"/>
          <w:sz w:val="24"/>
          <w:szCs w:val="24"/>
          <w:shd w:val="clear" w:color="auto" w:fill="FFFFFF"/>
          <w:lang w:val="kk-KZ"/>
        </w:rPr>
      </w:pPr>
      <w:r>
        <w:rPr>
          <w:b/>
          <w:bCs/>
          <w:color w:val="000000"/>
          <w:sz w:val="22"/>
          <w:szCs w:val="22"/>
          <w:lang w:val="kk-KZ"/>
        </w:rPr>
        <w:t>Тапсырыс беруші</w:t>
      </w:r>
      <w:r>
        <w:rPr>
          <w:color w:val="000000"/>
          <w:sz w:val="22"/>
          <w:szCs w:val="22"/>
          <w:lang w:val="kk-KZ"/>
        </w:rPr>
        <w:t xml:space="preserve">: </w:t>
      </w:r>
      <w:r>
        <w:rPr>
          <w:color w:val="333333"/>
          <w:sz w:val="24"/>
          <w:szCs w:val="24"/>
          <w:shd w:val="clear" w:color="auto" w:fill="FFFFFF"/>
          <w:lang w:val="kk-KZ"/>
        </w:rPr>
        <w:t>Түркістан облысының білім басқармасының Кентау қаласының білім бөлімінің "Әлия" бөбекжай-бақшасы" мемлекеттік коммуналдық қазыналық кәсіпорны</w:t>
      </w:r>
    </w:p>
    <w:p w14:paraId="54D86F2D">
      <w:pPr>
        <w:rPr>
          <w:color w:val="000000"/>
          <w:sz w:val="22"/>
          <w:szCs w:val="22"/>
          <w:lang w:val="kk-KZ"/>
        </w:rPr>
      </w:pPr>
      <w:r>
        <w:rPr>
          <w:b/>
          <w:color w:val="000000"/>
          <w:sz w:val="24"/>
          <w:szCs w:val="24"/>
          <w:lang w:val="kk-KZ"/>
        </w:rPr>
        <w:t>1</w:t>
      </w:r>
      <w:r>
        <w:rPr>
          <w:b/>
          <w:color w:val="000000"/>
          <w:sz w:val="22"/>
          <w:szCs w:val="22"/>
          <w:lang w:val="kk-KZ"/>
        </w:rPr>
        <w:t>. Жалпы ережелер.</w:t>
      </w:r>
      <w:r>
        <w:rPr>
          <w:color w:val="000000"/>
          <w:sz w:val="22"/>
          <w:szCs w:val="22"/>
          <w:lang w:val="kk-KZ"/>
        </w:rPr>
        <w:t xml:space="preserve"> Жазатайым оқиғалардан сақтандыру бойынша қызмет көрсету (қызметкер еңбек (қызметтік) міндеттерін атқарған кезде оны жазатайым оқиғалардан міндетті сақтандыру туралы) (бұдан әрі – қызметтер). </w:t>
      </w:r>
    </w:p>
    <w:p w14:paraId="2321C8B8">
      <w:pPr>
        <w:rPr>
          <w:color w:val="000000"/>
          <w:sz w:val="22"/>
          <w:szCs w:val="22"/>
          <w:lang w:val="kk-KZ"/>
        </w:rPr>
      </w:pPr>
      <w:r>
        <w:rPr>
          <w:b/>
          <w:bCs/>
          <w:color w:val="000000"/>
          <w:sz w:val="22"/>
          <w:szCs w:val="22"/>
          <w:lang w:val="kk-KZ"/>
        </w:rPr>
        <w:t>2. Қызмет көрсету орны, мерзімі және шарттары</w:t>
      </w:r>
      <w:r>
        <w:rPr>
          <w:color w:val="000000"/>
          <w:sz w:val="22"/>
          <w:szCs w:val="22"/>
          <w:lang w:val="kk-KZ"/>
        </w:rPr>
        <w:t xml:space="preserve">. </w:t>
      </w:r>
    </w:p>
    <w:p w14:paraId="13BB7670">
      <w:pPr>
        <w:jc w:val="both"/>
        <w:rPr>
          <w:color w:val="000000"/>
          <w:sz w:val="22"/>
          <w:szCs w:val="22"/>
          <w:shd w:val="clear" w:color="auto" w:fill="FFFFFF"/>
          <w:lang w:val="kk-KZ"/>
        </w:rPr>
      </w:pPr>
      <w:r>
        <w:rPr>
          <w:b/>
          <w:color w:val="000000"/>
          <w:sz w:val="22"/>
          <w:szCs w:val="22"/>
          <w:lang w:val="kk-KZ"/>
        </w:rPr>
        <w:t>Қызмет көрсету орны:</w:t>
      </w:r>
      <w:r>
        <w:rPr>
          <w:color w:val="000000"/>
          <w:sz w:val="22"/>
          <w:szCs w:val="22"/>
          <w:shd w:val="clear" w:color="auto" w:fill="FFFFFF"/>
          <w:lang w:val="kk-KZ"/>
        </w:rPr>
        <w:t>ТҮРКІСТАН ОБЛЫСЫ, Кентау Қ</w:t>
      </w:r>
      <w:r>
        <w:rPr>
          <w:color w:val="000000"/>
          <w:sz w:val="22"/>
          <w:szCs w:val="22"/>
          <w:lang w:val="kk-KZ"/>
        </w:rPr>
        <w:t>., Қонаев даңғылы, - 40 үй</w:t>
      </w:r>
    </w:p>
    <w:p w14:paraId="329A3599">
      <w:pPr>
        <w:rPr>
          <w:color w:val="000000"/>
          <w:sz w:val="22"/>
          <w:szCs w:val="22"/>
          <w:lang w:val="kk-KZ"/>
        </w:rPr>
      </w:pPr>
      <w:r>
        <w:rPr>
          <w:b/>
          <w:color w:val="000000"/>
          <w:sz w:val="22"/>
          <w:szCs w:val="22"/>
          <w:lang w:val="kk-KZ"/>
        </w:rPr>
        <w:t>Қызмет көрсету мерзімі:</w:t>
      </w:r>
      <w:r>
        <w:rPr>
          <w:color w:val="000000"/>
          <w:sz w:val="22"/>
          <w:szCs w:val="22"/>
          <w:lang w:val="kk-KZ"/>
        </w:rPr>
        <w:t xml:space="preserve">Сақтандыру шартына тұрған күннен бастап 12 ай </w:t>
      </w:r>
    </w:p>
    <w:p w14:paraId="6CF0C6D8">
      <w:pPr>
        <w:rPr>
          <w:color w:val="000000"/>
          <w:sz w:val="22"/>
          <w:szCs w:val="22"/>
          <w:lang w:val="kk-KZ"/>
        </w:rPr>
      </w:pPr>
      <w:r>
        <w:rPr>
          <w:b/>
          <w:color w:val="000000"/>
          <w:sz w:val="22"/>
          <w:szCs w:val="22"/>
          <w:lang w:val="kk-KZ"/>
        </w:rPr>
        <w:t>Қызмет көрсету шарттары:</w:t>
      </w:r>
      <w:r>
        <w:rPr>
          <w:color w:val="000000"/>
          <w:sz w:val="22"/>
          <w:szCs w:val="22"/>
          <w:lang w:val="kk-KZ"/>
        </w:rPr>
        <w:t xml:space="preserve"> Қызмет көрсетушінің "өмірді сақтандыру"саласы бойынша сақтандыру (қайта сақтандыру) қызметін жүзеге асыру құқығына лицензиясы болуы тиіс.</w:t>
      </w:r>
    </w:p>
    <w:p w14:paraId="045061AC">
      <w:pPr>
        <w:rPr>
          <w:color w:val="000000"/>
          <w:sz w:val="22"/>
          <w:szCs w:val="22"/>
          <w:lang w:val="kk-KZ"/>
        </w:rPr>
      </w:pPr>
      <w:r>
        <w:rPr>
          <w:b/>
          <w:bCs/>
          <w:color w:val="000000"/>
          <w:sz w:val="22"/>
          <w:szCs w:val="22"/>
          <w:lang w:val="kk-KZ"/>
        </w:rPr>
        <w:t xml:space="preserve">  3. Көрсетілетін қызметтердің атауы, сипаттамалары және саны</w:t>
      </w:r>
      <w:r>
        <w:rPr>
          <w:color w:val="000000"/>
          <w:sz w:val="22"/>
          <w:szCs w:val="22"/>
          <w:lang w:val="kk-KZ"/>
        </w:rPr>
        <w:t xml:space="preserve">. </w:t>
      </w:r>
    </w:p>
    <w:p w14:paraId="02C1B687">
      <w:pPr>
        <w:pStyle w:val="18"/>
        <w:spacing w:line="216" w:lineRule="exact"/>
        <w:ind w:left="0"/>
        <w:jc w:val="both"/>
        <w:rPr>
          <w:b/>
          <w:lang w:val="kk-KZ"/>
        </w:rPr>
      </w:pPr>
      <w:r>
        <w:rPr>
          <w:b/>
          <w:lang w:val="kk-KZ"/>
        </w:rPr>
        <w:t xml:space="preserve">Сатып алу нысаны - </w:t>
      </w:r>
      <w:r>
        <w:rPr>
          <w:lang w:val="kk-KZ"/>
        </w:rPr>
        <w:t>қызметкер еңбек (қызметтік) міндеттерін атқарған кезде оны жазатайым оқиғалардан міндетті сақтандыру</w:t>
      </w:r>
    </w:p>
    <w:p w14:paraId="5AC6D828">
      <w:pPr>
        <w:jc w:val="both"/>
        <w:rPr>
          <w:sz w:val="22"/>
          <w:szCs w:val="22"/>
          <w:lang w:val="kk-KZ"/>
        </w:rPr>
      </w:pPr>
      <w:r>
        <w:rPr>
          <w:b/>
          <w:sz w:val="22"/>
          <w:szCs w:val="22"/>
          <w:lang w:val="kk-KZ"/>
        </w:rPr>
        <w:t xml:space="preserve">Сақтандыру түрі - </w:t>
      </w:r>
      <w:r>
        <w:rPr>
          <w:sz w:val="22"/>
          <w:szCs w:val="22"/>
          <w:lang w:val="kk-KZ"/>
        </w:rPr>
        <w:t>қызметкер еңбек (қызметтік) міндеттерін атқарған кезде оны жазатайым оқиғалардан міндетті сақтандыру</w:t>
      </w:r>
    </w:p>
    <w:p w14:paraId="237878A9">
      <w:pPr>
        <w:jc w:val="both"/>
        <w:rPr>
          <w:sz w:val="22"/>
          <w:szCs w:val="22"/>
          <w:lang w:val="kk-KZ"/>
        </w:rPr>
      </w:pPr>
      <w:r>
        <w:rPr>
          <w:sz w:val="22"/>
          <w:szCs w:val="22"/>
          <w:lang w:val="kk-KZ"/>
        </w:rPr>
        <w:t>Сақтандыру төлемдерінің мөлшері: Жазатайым оқиғадан өлім-сақтандыру сомасының 100%, еңбекке уақытша жарамсыздық басталған жағдайда- сақтандырушының 7-ші күннен бастап 60 күніне дейін 0,2% мөлшерінде.</w:t>
      </w:r>
    </w:p>
    <w:p w14:paraId="7150DCE1">
      <w:pPr>
        <w:jc w:val="both"/>
        <w:rPr>
          <w:sz w:val="22"/>
          <w:szCs w:val="22"/>
          <w:lang w:val="kk-KZ"/>
        </w:rPr>
      </w:pPr>
      <w:r>
        <w:rPr>
          <w:b/>
          <w:sz w:val="22"/>
          <w:szCs w:val="22"/>
          <w:lang w:val="kk-KZ"/>
        </w:rPr>
        <w:t xml:space="preserve">Сақтандыру объектісі - </w:t>
      </w:r>
      <w:r>
        <w:rPr>
          <w:sz w:val="22"/>
          <w:szCs w:val="22"/>
          <w:lang w:val="kk-KZ"/>
        </w:rPr>
        <w:t>қызметкерді жазатайым оқиғалардан міндетті сақтандыру объектісі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w:t>
      </w:r>
    </w:p>
    <w:p w14:paraId="400DE14F">
      <w:pPr>
        <w:ind w:firstLine="708"/>
        <w:jc w:val="both"/>
        <w:rPr>
          <w:color w:val="000000"/>
          <w:sz w:val="22"/>
          <w:szCs w:val="22"/>
          <w:lang w:val="kk-KZ"/>
        </w:rPr>
      </w:pPr>
      <w:r>
        <w:rPr>
          <w:b/>
          <w:color w:val="000000"/>
          <w:sz w:val="22"/>
          <w:szCs w:val="22"/>
          <w:lang w:val="kk-KZ"/>
        </w:rPr>
        <w:t>Сақтандырылушы сақтандыру</w:t>
      </w:r>
      <w:r>
        <w:rPr>
          <w:color w:val="000000"/>
          <w:sz w:val="22"/>
          <w:szCs w:val="22"/>
          <w:lang w:val="kk-KZ"/>
        </w:rPr>
        <w:t xml:space="preserve"> жағдайы басталған сәтте болған әлемнің кез келген аумағы сақтандыру қорғанысы қолданылатын сақтандыру аумағы деп танылады</w:t>
      </w:r>
    </w:p>
    <w:p w14:paraId="105163A0">
      <w:pPr>
        <w:jc w:val="both"/>
        <w:rPr>
          <w:color w:val="000000"/>
          <w:sz w:val="22"/>
          <w:szCs w:val="22"/>
          <w:lang w:val="kk-KZ"/>
        </w:rPr>
      </w:pPr>
      <w:r>
        <w:rPr>
          <w:b/>
          <w:color w:val="000000"/>
          <w:sz w:val="22"/>
          <w:szCs w:val="22"/>
          <w:lang w:val="kk-KZ"/>
        </w:rPr>
        <w:t>Сақтандыру қорғаудың қолданылу кезеңі</w:t>
      </w:r>
      <w:r>
        <w:rPr>
          <w:color w:val="000000"/>
          <w:sz w:val="22"/>
          <w:szCs w:val="22"/>
          <w:lang w:val="kk-KZ"/>
        </w:rPr>
        <w:t xml:space="preserve"> Тәулігіне 24 сағат</w:t>
      </w:r>
    </w:p>
    <w:p w14:paraId="147732BD">
      <w:pPr>
        <w:jc w:val="both"/>
        <w:rPr>
          <w:color w:val="000000"/>
          <w:sz w:val="22"/>
          <w:szCs w:val="22"/>
          <w:lang w:val="kk-KZ"/>
        </w:rPr>
      </w:pPr>
      <w:r>
        <w:rPr>
          <w:color w:val="000000"/>
          <w:sz w:val="22"/>
          <w:szCs w:val="22"/>
          <w:lang w:val="kk-KZ"/>
        </w:rPr>
        <w:t xml:space="preserve">Шарт бойынша және/немесе сақтандыру жағдайы бойынша жауапкершіліктің жиынтық лимитінің болмауы, сақтандырылушыға қатысты кез келген сақтандыру жағдайы басталған кезде барлық басқа сақтандыру өтемақылары осы сақтандырылушыға қатысты өз қолданысын тоқтатпайды, шарт бойынша қызмет көрсету үшін делдалдарды (сақтандыру агенттерін, консультанттарды) тартпай шарт жасасу, шарт бойынша комиссиялық сыйақы көзделмеген </w:t>
      </w:r>
    </w:p>
    <w:p w14:paraId="3AF5B4F3">
      <w:pPr>
        <w:jc w:val="both"/>
        <w:rPr>
          <w:b/>
          <w:sz w:val="22"/>
          <w:szCs w:val="22"/>
          <w:lang w:val="kk-KZ"/>
        </w:rPr>
      </w:pPr>
      <w:r>
        <w:rPr>
          <w:b/>
          <w:sz w:val="22"/>
          <w:szCs w:val="22"/>
          <w:lang w:val="kk-KZ"/>
        </w:rPr>
        <w:t xml:space="preserve">Сақтандыру жағдайлары – </w:t>
      </w:r>
      <w:r>
        <w:rPr>
          <w:sz w:val="22"/>
          <w:szCs w:val="22"/>
          <w:lang w:val="kk-KZ"/>
        </w:rPr>
        <w:t>қызметкердің (қызметкерлердің) еңбек (қызметтік) міндеттерін орындауы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шалдығуына әкеп соққан өндірістік жарақаттануы, денсаулығының кенеттен нашарлауы немесе улануы болған жазатайым оқиғаның басталу фактісі не қызметкердің еңбек (қызметтік) міндеттерін орындауы кезінде онымен болған жазатайым Қазақстан Республикасы Еңбек кодексінің 186-бабының 2-тармағында көзделген мән-жайлар кезінде қайтыс болуы</w:t>
      </w:r>
    </w:p>
    <w:p w14:paraId="4C583425">
      <w:pPr>
        <w:jc w:val="both"/>
        <w:rPr>
          <w:b/>
          <w:sz w:val="22"/>
          <w:szCs w:val="22"/>
          <w:lang w:val="kk-KZ"/>
        </w:rPr>
      </w:pPr>
      <w:r>
        <w:rPr>
          <w:b/>
          <w:sz w:val="22"/>
          <w:szCs w:val="22"/>
          <w:lang w:val="kk-KZ"/>
        </w:rPr>
        <w:t xml:space="preserve">Сақтандыру төлемдері - </w:t>
      </w:r>
      <w:r>
        <w:rPr>
          <w:sz w:val="22"/>
          <w:szCs w:val="22"/>
          <w:lang w:val="kk-KZ"/>
        </w:rPr>
        <w:t>сақтандыру жағдайы басталған кезде сақтандырушы пайда алушыға сақтандыру сомасы шегінде төлейтін ақша сомасы</w:t>
      </w:r>
    </w:p>
    <w:p w14:paraId="12F8CF68">
      <w:pPr>
        <w:rPr>
          <w:b/>
          <w:sz w:val="22"/>
          <w:szCs w:val="22"/>
          <w:lang w:val="kk-KZ"/>
        </w:rPr>
      </w:pPr>
      <w:r>
        <w:rPr>
          <w:b/>
          <w:sz w:val="22"/>
          <w:szCs w:val="22"/>
          <w:lang w:val="kk-KZ"/>
        </w:rPr>
        <w:t xml:space="preserve">Франшиза - </w:t>
      </w:r>
      <w:r>
        <w:rPr>
          <w:sz w:val="22"/>
          <w:szCs w:val="22"/>
          <w:lang w:val="kk-KZ"/>
        </w:rPr>
        <w:t>Қолданылмайды</w:t>
      </w:r>
    </w:p>
    <w:p w14:paraId="4CB7A366">
      <w:pPr>
        <w:jc w:val="both"/>
        <w:rPr>
          <w:b/>
          <w:sz w:val="22"/>
          <w:szCs w:val="22"/>
          <w:lang w:val="kk-KZ"/>
        </w:rPr>
      </w:pPr>
      <w:r>
        <w:rPr>
          <w:b/>
          <w:sz w:val="22"/>
          <w:szCs w:val="22"/>
          <w:lang w:val="kk-KZ"/>
        </w:rPr>
        <w:t xml:space="preserve">            Төлем тәртібі - </w:t>
      </w:r>
      <w:r>
        <w:rPr>
          <w:sz w:val="22"/>
          <w:szCs w:val="22"/>
          <w:lang w:val="kk-KZ"/>
        </w:rPr>
        <w:t>Көрсетілген қызметтер үшін төлемді Тапсырыс беруші көрсетілген қызметтер актісіне Тараптар қол қойған күннен бастап күнтізбелік 30 (отыз) күннен кешіктірмей өнім берушінің есеп шотына ақша қаражатын аудару арқылы жүргізеді. Қызмет көрсету актісінің нысанын өнім беруші Тапсырыс берушімен алдын ала келіседі</w:t>
      </w:r>
    </w:p>
    <w:p w14:paraId="7A9B6279">
      <w:pPr>
        <w:rPr>
          <w:color w:val="000000"/>
          <w:sz w:val="22"/>
          <w:szCs w:val="22"/>
          <w:lang w:val="kk-KZ"/>
        </w:rPr>
      </w:pPr>
    </w:p>
    <w:p w14:paraId="25A48883">
      <w:pPr>
        <w:rPr>
          <w:b/>
          <w:bCs/>
          <w:color w:val="000000"/>
          <w:sz w:val="22"/>
          <w:szCs w:val="22"/>
          <w:lang w:val="kk-KZ"/>
        </w:rPr>
      </w:pPr>
      <w:r>
        <w:rPr>
          <w:b/>
          <w:color w:val="000000"/>
          <w:sz w:val="22"/>
          <w:szCs w:val="22"/>
          <w:lang w:val="kk-KZ"/>
        </w:rPr>
        <w:t xml:space="preserve">      4</w:t>
      </w:r>
      <w:r>
        <w:rPr>
          <w:b/>
          <w:bCs/>
          <w:color w:val="000000"/>
          <w:sz w:val="22"/>
          <w:szCs w:val="22"/>
          <w:lang w:val="kk-KZ"/>
        </w:rPr>
        <w:t>. Қызметкерлерді еңбек (қызметтік) міндеттерін атқару кезінде жазатайым оқиғалардан міндетті сақтандыру бойынша сақтандыру қызметтерінің жалпы құны.</w:t>
      </w:r>
    </w:p>
    <w:p w14:paraId="334EFF02">
      <w:pPr>
        <w:rPr>
          <w:b/>
          <w:bCs/>
          <w:color w:val="000000"/>
          <w:sz w:val="22"/>
          <w:szCs w:val="22"/>
          <w:lang w:val="kk-KZ"/>
        </w:rPr>
      </w:pPr>
    </w:p>
    <w:p w14:paraId="5CF6201B">
      <w:pPr>
        <w:rPr>
          <w:b/>
          <w:bCs/>
          <w:color w:val="FF0000"/>
          <w:sz w:val="28"/>
          <w:szCs w:val="28"/>
          <w:lang w:val="kk-KZ"/>
        </w:rPr>
      </w:pPr>
    </w:p>
    <w:tbl>
      <w:tblPr>
        <w:tblStyle w:val="4"/>
        <w:tblW w:w="10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3402"/>
        <w:gridCol w:w="3685"/>
      </w:tblGrid>
      <w:tr w14:paraId="6B01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3119" w:type="dxa"/>
            <w:shd w:val="clear" w:color="auto" w:fill="auto"/>
            <w:noWrap/>
            <w:vAlign w:val="center"/>
          </w:tcPr>
          <w:p w14:paraId="0417F3FC">
            <w:pPr>
              <w:shd w:val="clear" w:color="auto" w:fill="FBFBFB"/>
              <w:spacing w:before="100" w:beforeAutospacing="1" w:line="420" w:lineRule="atLeast"/>
              <w:ind w:left="-240"/>
              <w:jc w:val="center"/>
              <w:rPr>
                <w:b/>
                <w:bCs/>
                <w:color w:val="000000"/>
                <w:sz w:val="22"/>
                <w:szCs w:val="22"/>
                <w:lang w:val="kk-KZ"/>
              </w:rPr>
            </w:pPr>
            <w:r>
              <w:rPr>
                <w:b/>
                <w:bCs/>
                <w:color w:val="000000"/>
                <w:sz w:val="22"/>
                <w:szCs w:val="22"/>
                <w:lang w:val="kk-KZ"/>
              </w:rPr>
              <w:t>Қызметкерлер саны</w:t>
            </w:r>
          </w:p>
          <w:p w14:paraId="0E2EFEF8">
            <w:pPr>
              <w:jc w:val="center"/>
              <w:rPr>
                <w:rFonts w:eastAsia="Batang"/>
                <w:b/>
                <w:bCs/>
                <w:sz w:val="22"/>
                <w:szCs w:val="22"/>
                <w:lang w:val="kk-KZ" w:eastAsia="ko-KR"/>
              </w:rPr>
            </w:pPr>
          </w:p>
        </w:tc>
        <w:tc>
          <w:tcPr>
            <w:tcW w:w="3402" w:type="dxa"/>
            <w:shd w:val="clear" w:color="auto" w:fill="auto"/>
            <w:vAlign w:val="center"/>
          </w:tcPr>
          <w:p w14:paraId="701CBC82">
            <w:pPr>
              <w:jc w:val="center"/>
              <w:rPr>
                <w:rFonts w:eastAsia="Batang"/>
                <w:b/>
                <w:bCs/>
                <w:sz w:val="22"/>
                <w:szCs w:val="22"/>
                <w:lang w:val="kk-KZ" w:eastAsia="ko-KR"/>
              </w:rPr>
            </w:pPr>
            <w:r>
              <w:rPr>
                <w:b/>
                <w:bCs/>
                <w:color w:val="000000"/>
                <w:sz w:val="22"/>
                <w:szCs w:val="22"/>
                <w:lang w:val="kk-KZ"/>
              </w:rPr>
              <w:t>Жылдық жалақы қоры (теңге)</w:t>
            </w:r>
          </w:p>
        </w:tc>
        <w:tc>
          <w:tcPr>
            <w:tcW w:w="3685" w:type="dxa"/>
            <w:shd w:val="clear" w:color="auto" w:fill="auto"/>
            <w:vAlign w:val="center"/>
          </w:tcPr>
          <w:p w14:paraId="6B658252">
            <w:pPr>
              <w:jc w:val="center"/>
              <w:rPr>
                <w:rFonts w:eastAsia="Batang"/>
                <w:b/>
                <w:bCs/>
                <w:sz w:val="22"/>
                <w:szCs w:val="22"/>
                <w:lang w:val="kk-KZ" w:eastAsia="ko-KR"/>
              </w:rPr>
            </w:pPr>
            <w:r>
              <w:rPr>
                <w:rFonts w:ascii="Arial" w:hAnsi="Arial" w:cs="Arial"/>
                <w:b/>
                <w:bCs/>
                <w:color w:val="000000"/>
                <w:sz w:val="22"/>
                <w:szCs w:val="22"/>
                <w:lang w:val="kk-KZ"/>
              </w:rPr>
              <w:t>Сақтандыру төлемі</w:t>
            </w:r>
          </w:p>
        </w:tc>
      </w:tr>
      <w:tr w14:paraId="32D0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3119" w:type="dxa"/>
            <w:shd w:val="clear" w:color="auto" w:fill="FFFFFF"/>
            <w:noWrap/>
            <w:vAlign w:val="center"/>
          </w:tcPr>
          <w:p w14:paraId="6C870C09">
            <w:pPr>
              <w:jc w:val="center"/>
              <w:rPr>
                <w:rFonts w:eastAsia="Batang"/>
                <w:sz w:val="28"/>
                <w:szCs w:val="28"/>
                <w:lang w:val="kk-KZ" w:eastAsia="ko-KR"/>
              </w:rPr>
            </w:pPr>
          </w:p>
          <w:p w14:paraId="63933E39">
            <w:pPr>
              <w:jc w:val="center"/>
              <w:rPr>
                <w:rFonts w:hint="default" w:eastAsia="Batang"/>
                <w:sz w:val="28"/>
                <w:szCs w:val="28"/>
                <w:lang w:val="en-US" w:eastAsia="ko-KR"/>
              </w:rPr>
            </w:pPr>
            <w:r>
              <w:rPr>
                <w:rFonts w:eastAsia="Batang"/>
                <w:sz w:val="28"/>
                <w:szCs w:val="28"/>
                <w:lang w:val="kk-KZ" w:eastAsia="ko-KR"/>
              </w:rPr>
              <w:t>6</w:t>
            </w:r>
            <w:r>
              <w:rPr>
                <w:rFonts w:hint="default" w:eastAsia="Batang"/>
                <w:sz w:val="28"/>
                <w:szCs w:val="28"/>
                <w:lang w:val="en-US" w:eastAsia="ko-KR"/>
              </w:rPr>
              <w:t>5</w:t>
            </w:r>
          </w:p>
        </w:tc>
        <w:tc>
          <w:tcPr>
            <w:tcW w:w="3402" w:type="dxa"/>
            <w:shd w:val="clear" w:color="auto" w:fill="FFFFFF"/>
            <w:noWrap/>
            <w:vAlign w:val="bottom"/>
          </w:tcPr>
          <w:p w14:paraId="7E6D89B6">
            <w:pPr>
              <w:jc w:val="center"/>
              <w:rPr>
                <w:rFonts w:hint="default"/>
                <w:bCs/>
                <w:sz w:val="28"/>
                <w:szCs w:val="28"/>
                <w:lang w:val="en-US"/>
              </w:rPr>
            </w:pPr>
            <w:r>
              <w:rPr>
                <w:bCs/>
                <w:sz w:val="28"/>
                <w:szCs w:val="28"/>
                <w:lang w:val="kk-KZ"/>
              </w:rPr>
              <w:t>16</w:t>
            </w:r>
            <w:r>
              <w:rPr>
                <w:rFonts w:hint="default"/>
                <w:bCs/>
                <w:sz w:val="28"/>
                <w:szCs w:val="28"/>
                <w:lang w:val="en-US"/>
              </w:rPr>
              <w:t>165488</w:t>
            </w:r>
          </w:p>
        </w:tc>
        <w:tc>
          <w:tcPr>
            <w:tcW w:w="3685" w:type="dxa"/>
            <w:shd w:val="clear" w:color="auto" w:fill="FFFFFF"/>
            <w:noWrap/>
            <w:vAlign w:val="bottom"/>
          </w:tcPr>
          <w:p w14:paraId="69CA7110">
            <w:pPr>
              <w:jc w:val="center"/>
              <w:rPr>
                <w:bCs/>
                <w:sz w:val="28"/>
                <w:szCs w:val="28"/>
                <w:lang w:val="kk-KZ"/>
              </w:rPr>
            </w:pPr>
          </w:p>
          <w:p w14:paraId="0B6E1C14">
            <w:pPr>
              <w:jc w:val="center"/>
              <w:rPr>
                <w:rFonts w:hint="default"/>
                <w:bCs/>
                <w:sz w:val="28"/>
                <w:szCs w:val="28"/>
                <w:lang w:val="en-US"/>
              </w:rPr>
            </w:pPr>
            <w:r>
              <w:rPr>
                <w:rFonts w:hint="default"/>
                <w:bCs/>
                <w:sz w:val="28"/>
                <w:szCs w:val="28"/>
                <w:lang w:val="en-US"/>
              </w:rPr>
              <w:t>511928.67</w:t>
            </w:r>
          </w:p>
        </w:tc>
      </w:tr>
    </w:tbl>
    <w:p w14:paraId="71B66C5B">
      <w:pPr>
        <w:pStyle w:val="9"/>
        <w:ind w:left="1005" w:firstLine="0"/>
        <w:jc w:val="center"/>
        <w:rPr>
          <w:b/>
          <w:bCs/>
          <w:sz w:val="22"/>
          <w:szCs w:val="22"/>
        </w:rPr>
      </w:pPr>
    </w:p>
    <w:p w14:paraId="67914250">
      <w:pPr>
        <w:pStyle w:val="9"/>
        <w:ind w:left="1005" w:firstLine="0"/>
        <w:jc w:val="center"/>
        <w:rPr>
          <w:b/>
          <w:bCs/>
          <w:sz w:val="22"/>
          <w:szCs w:val="22"/>
        </w:rPr>
      </w:pPr>
      <w:r>
        <w:rPr>
          <w:b/>
          <w:bCs/>
          <w:sz w:val="22"/>
          <w:szCs w:val="22"/>
        </w:rPr>
        <w:t>ТЕХНИЧЕСКАЯ СПЕЦИФИКАЦИЯ ДЛЯ ПРОВЕДЕНИЯ ЗАКУПА УСЛУГ ПО СТРАХОВАНИЮ ОТ НЕСЧАСТНЫХ СЛУЧАЕВ</w:t>
      </w:r>
    </w:p>
    <w:p w14:paraId="1847AAF2">
      <w:pPr>
        <w:pStyle w:val="9"/>
        <w:ind w:left="1005" w:firstLine="0"/>
        <w:jc w:val="center"/>
        <w:rPr>
          <w:sz w:val="22"/>
          <w:szCs w:val="22"/>
        </w:rPr>
      </w:pPr>
      <w:r>
        <w:rPr>
          <w:b/>
          <w:sz w:val="22"/>
          <w:szCs w:val="22"/>
          <w:shd w:val="clear" w:color="auto" w:fill="FFFFFF"/>
        </w:rPr>
        <w:t>Об обязательном страховании работника от несчастных случаев при исполнении им трудовых (служебных) обязанностей</w:t>
      </w:r>
      <w:r>
        <w:rPr>
          <w:sz w:val="22"/>
          <w:szCs w:val="22"/>
        </w:rPr>
        <w:t>.</w:t>
      </w:r>
    </w:p>
    <w:p w14:paraId="110CDB87">
      <w:pPr>
        <w:pStyle w:val="9"/>
        <w:ind w:left="1005" w:firstLine="0"/>
        <w:jc w:val="center"/>
        <w:rPr>
          <w:bCs/>
          <w:sz w:val="22"/>
          <w:szCs w:val="22"/>
        </w:rPr>
      </w:pPr>
    </w:p>
    <w:p w14:paraId="75BF5784">
      <w:pPr>
        <w:pStyle w:val="12"/>
        <w:overflowPunct/>
        <w:autoSpaceDE/>
        <w:autoSpaceDN/>
        <w:adjustRightInd/>
        <w:spacing w:after="0"/>
        <w:jc w:val="both"/>
        <w:textAlignment w:val="auto"/>
        <w:rPr>
          <w:b/>
          <w:sz w:val="22"/>
          <w:szCs w:val="22"/>
          <w:lang w:val="ru-RU"/>
        </w:rPr>
      </w:pPr>
      <w:r>
        <w:rPr>
          <w:b/>
          <w:sz w:val="22"/>
          <w:szCs w:val="22"/>
          <w:lang w:val="ru-RU"/>
        </w:rPr>
        <w:t xml:space="preserve">Заказчик: </w:t>
      </w:r>
      <w:r>
        <w:rPr>
          <w:color w:val="333333"/>
          <w:szCs w:val="24"/>
          <w:shd w:val="clear" w:color="auto" w:fill="FFFFFF"/>
          <w:lang w:val="ru-RU"/>
        </w:rPr>
        <w:t>Государственное коммунальное казенное предприятие "Ясли-сад "Алия" отдела образования города Кентау управления образования Туркестанской области</w:t>
      </w:r>
    </w:p>
    <w:p w14:paraId="29C8B3FE">
      <w:pPr>
        <w:pStyle w:val="12"/>
        <w:overflowPunct/>
        <w:autoSpaceDE/>
        <w:autoSpaceDN/>
        <w:adjustRightInd/>
        <w:spacing w:after="0"/>
        <w:jc w:val="both"/>
        <w:textAlignment w:val="auto"/>
        <w:rPr>
          <w:b/>
          <w:sz w:val="22"/>
          <w:szCs w:val="22"/>
          <w:lang w:val="ru-RU"/>
        </w:rPr>
      </w:pPr>
      <w:r>
        <w:rPr>
          <w:b/>
          <w:sz w:val="22"/>
          <w:szCs w:val="22"/>
          <w:lang w:val="ru-RU"/>
        </w:rPr>
        <w:t>1.Общие положения</w:t>
      </w:r>
      <w:r>
        <w:rPr>
          <w:bCs/>
          <w:sz w:val="22"/>
          <w:szCs w:val="22"/>
          <w:shd w:val="clear" w:color="auto" w:fill="FFFFFF"/>
          <w:lang w:val="ru-RU"/>
        </w:rPr>
        <w:t xml:space="preserve"> оказание услуги по страхованию от несчастных случаев</w:t>
      </w:r>
      <w:r>
        <w:rPr>
          <w:b/>
          <w:bCs/>
          <w:sz w:val="22"/>
          <w:szCs w:val="22"/>
          <w:shd w:val="clear" w:color="auto" w:fill="FFFFFF"/>
          <w:lang w:val="ru-RU"/>
        </w:rPr>
        <w:t xml:space="preserve"> (</w:t>
      </w:r>
      <w:r>
        <w:rPr>
          <w:sz w:val="22"/>
          <w:szCs w:val="22"/>
          <w:shd w:val="clear" w:color="auto" w:fill="FFFFFF"/>
          <w:lang w:val="ru-RU"/>
        </w:rPr>
        <w:t>Об обязательном страховании работника от несчастных случаев при исполнении им трудовых (служебных) обязанностей</w:t>
      </w:r>
      <w:r>
        <w:rPr>
          <w:b/>
          <w:sz w:val="22"/>
          <w:szCs w:val="22"/>
          <w:lang w:val="ru-RU"/>
        </w:rPr>
        <w:t>)</w:t>
      </w:r>
      <w:r>
        <w:rPr>
          <w:sz w:val="22"/>
          <w:szCs w:val="22"/>
          <w:lang w:val="ru-RU"/>
        </w:rPr>
        <w:t>(далее – Услуги).</w:t>
      </w:r>
    </w:p>
    <w:p w14:paraId="76AF8527">
      <w:pPr>
        <w:jc w:val="both"/>
        <w:rPr>
          <w:b/>
          <w:sz w:val="22"/>
          <w:szCs w:val="22"/>
        </w:rPr>
      </w:pPr>
      <w:r>
        <w:rPr>
          <w:b/>
          <w:sz w:val="22"/>
          <w:szCs w:val="22"/>
        </w:rPr>
        <w:t>2. Место, срок и условия оказания Услуг.</w:t>
      </w:r>
    </w:p>
    <w:p w14:paraId="578BE015">
      <w:pPr>
        <w:jc w:val="both"/>
        <w:rPr>
          <w:color w:val="000000"/>
          <w:sz w:val="22"/>
          <w:szCs w:val="22"/>
          <w:shd w:val="clear" w:color="auto" w:fill="FFFFFF"/>
          <w:lang w:val="kk-KZ"/>
        </w:rPr>
      </w:pPr>
      <w:r>
        <w:rPr>
          <w:b/>
          <w:sz w:val="22"/>
          <w:szCs w:val="22"/>
        </w:rPr>
        <w:t>Место оказания Услуг</w:t>
      </w:r>
      <w:r>
        <w:rPr>
          <w:color w:val="000000"/>
          <w:sz w:val="22"/>
          <w:szCs w:val="22"/>
          <w:shd w:val="clear" w:color="auto" w:fill="FFFFFF"/>
        </w:rPr>
        <w:t>ТУРКЕСТАНСКАЯ ОБЛАСТЬ,  Г.</w:t>
      </w:r>
      <w:r>
        <w:rPr>
          <w:color w:val="000000"/>
          <w:sz w:val="22"/>
          <w:szCs w:val="22"/>
          <w:shd w:val="clear" w:color="auto" w:fill="FFFFFF"/>
          <w:lang w:val="kk-KZ"/>
        </w:rPr>
        <w:t>Кентау</w:t>
      </w:r>
      <w:r>
        <w:rPr>
          <w:color w:val="000000"/>
          <w:sz w:val="22"/>
          <w:szCs w:val="22"/>
          <w:shd w:val="clear" w:color="auto" w:fill="FFFFFF"/>
        </w:rPr>
        <w:t xml:space="preserve">, </w:t>
      </w:r>
      <w:r>
        <w:rPr>
          <w:color w:val="000000"/>
          <w:sz w:val="22"/>
          <w:szCs w:val="22"/>
          <w:shd w:val="clear" w:color="auto" w:fill="FFFFFF"/>
          <w:lang w:val="kk-KZ"/>
        </w:rPr>
        <w:t xml:space="preserve">проспект Кунаева </w:t>
      </w:r>
      <w:r>
        <w:rPr>
          <w:color w:val="000000"/>
          <w:sz w:val="22"/>
          <w:szCs w:val="22"/>
          <w:shd w:val="clear" w:color="auto" w:fill="FFFFFF"/>
        </w:rPr>
        <w:t xml:space="preserve">,  </w:t>
      </w:r>
      <w:r>
        <w:rPr>
          <w:color w:val="000000"/>
          <w:sz w:val="22"/>
          <w:szCs w:val="22"/>
          <w:shd w:val="clear" w:color="auto" w:fill="FFFFFF"/>
          <w:lang w:val="kk-KZ"/>
        </w:rPr>
        <w:t xml:space="preserve">40 </w:t>
      </w:r>
      <w:r>
        <w:rPr>
          <w:color w:val="000000"/>
          <w:sz w:val="22"/>
          <w:szCs w:val="22"/>
          <w:shd w:val="clear" w:color="auto" w:fill="FFFFFF"/>
        </w:rPr>
        <w:t xml:space="preserve">дом </w:t>
      </w:r>
    </w:p>
    <w:p w14:paraId="59C69339">
      <w:pPr>
        <w:jc w:val="both"/>
        <w:rPr>
          <w:sz w:val="22"/>
          <w:szCs w:val="22"/>
        </w:rPr>
      </w:pPr>
      <w:r>
        <w:rPr>
          <w:b/>
          <w:sz w:val="22"/>
          <w:szCs w:val="22"/>
        </w:rPr>
        <w:t>Сроки оказания Услуг:</w:t>
      </w:r>
      <w:r>
        <w:rPr>
          <w:sz w:val="22"/>
          <w:szCs w:val="22"/>
        </w:rPr>
        <w:t>12 месяцев со дня заключения договора страхования</w:t>
      </w:r>
      <w:r>
        <w:rPr>
          <w:sz w:val="22"/>
          <w:szCs w:val="22"/>
        </w:rPr>
        <w:tab/>
      </w:r>
      <w:r>
        <w:rPr>
          <w:sz w:val="22"/>
          <w:szCs w:val="22"/>
        </w:rPr>
        <w:tab/>
      </w:r>
    </w:p>
    <w:p w14:paraId="5A18B9FB">
      <w:pPr>
        <w:jc w:val="both"/>
        <w:rPr>
          <w:b/>
          <w:sz w:val="22"/>
          <w:szCs w:val="22"/>
        </w:rPr>
      </w:pPr>
      <w:r>
        <w:rPr>
          <w:b/>
          <w:sz w:val="22"/>
          <w:szCs w:val="22"/>
        </w:rPr>
        <w:t>Условия оказания Услуг:</w:t>
      </w:r>
      <w:r>
        <w:rPr>
          <w:sz w:val="22"/>
          <w:szCs w:val="22"/>
        </w:rPr>
        <w:t>Поставщик услуг должен иметь лицензию на право осуществления страховой (перестраховочной) деятельности по отрасли «страхование жизни».</w:t>
      </w:r>
    </w:p>
    <w:p w14:paraId="553BE300">
      <w:pPr>
        <w:jc w:val="both"/>
        <w:rPr>
          <w:b/>
          <w:sz w:val="22"/>
          <w:szCs w:val="22"/>
        </w:rPr>
      </w:pPr>
      <w:r>
        <w:rPr>
          <w:b/>
          <w:sz w:val="22"/>
          <w:szCs w:val="22"/>
        </w:rPr>
        <w:tab/>
      </w:r>
      <w:r>
        <w:rPr>
          <w:b/>
          <w:sz w:val="22"/>
          <w:szCs w:val="22"/>
        </w:rPr>
        <w:t>3. Наименование, характеристики и количество оказываемых Услуг.</w:t>
      </w:r>
    </w:p>
    <w:p w14:paraId="69EB09CD">
      <w:pPr>
        <w:pStyle w:val="18"/>
        <w:spacing w:line="222" w:lineRule="exact"/>
        <w:ind w:left="0"/>
        <w:rPr>
          <w:b/>
        </w:rPr>
      </w:pPr>
      <w:r>
        <w:rPr>
          <w:b/>
        </w:rPr>
        <w:t>Предмет закупа</w:t>
      </w:r>
      <w:r>
        <w:t xml:space="preserve"> - обязательное страхование работника от несчастных случаев при исполнении им трудовых (служебных) обязанностей.</w:t>
      </w:r>
    </w:p>
    <w:p w14:paraId="60754589">
      <w:pPr>
        <w:pStyle w:val="12"/>
        <w:overflowPunct/>
        <w:autoSpaceDE/>
        <w:autoSpaceDN/>
        <w:adjustRightInd/>
        <w:spacing w:after="0"/>
        <w:jc w:val="both"/>
        <w:textAlignment w:val="auto"/>
        <w:rPr>
          <w:sz w:val="22"/>
          <w:szCs w:val="22"/>
          <w:lang w:val="ru-RU"/>
        </w:rPr>
      </w:pPr>
      <w:r>
        <w:rPr>
          <w:b/>
          <w:sz w:val="22"/>
          <w:szCs w:val="22"/>
          <w:lang w:val="ru-RU"/>
        </w:rPr>
        <w:t xml:space="preserve">             Вид страхования - </w:t>
      </w:r>
      <w:r>
        <w:rPr>
          <w:sz w:val="22"/>
          <w:szCs w:val="22"/>
          <w:lang w:val="ru-RU"/>
        </w:rPr>
        <w:t>обязательное страхование работника от несчастных случаев при исполнении им трудовых (служебных) обязанностей. Смерть в результате несчастного случая-100 % от страховой суммы, В случае наступления временной нетрудоспособности-в размере 0,2% с 7-го до 60 дней Застрахованного</w:t>
      </w:r>
    </w:p>
    <w:p w14:paraId="2D5BF202">
      <w:pPr>
        <w:pStyle w:val="18"/>
        <w:ind w:left="102" w:right="108"/>
        <w:jc w:val="both"/>
      </w:pPr>
      <w:r>
        <w:rPr>
          <w:b/>
        </w:rPr>
        <w:t xml:space="preserve">         Объект страхования - </w:t>
      </w:r>
      <w: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случая,приведшего к установлению ему степени утраты профессиональной трудоспособности либо его смерти.</w:t>
      </w:r>
    </w:p>
    <w:p w14:paraId="39B618BD">
      <w:pPr>
        <w:pStyle w:val="18"/>
        <w:ind w:left="102" w:right="108" w:firstLine="606"/>
        <w:jc w:val="both"/>
      </w:pPr>
      <w:r>
        <w:rPr>
          <w:b/>
        </w:rPr>
        <w:t xml:space="preserve">Территория страхования </w:t>
      </w:r>
      <w:r>
        <w:t>на которой действует страховая защита, признается любая территория мира, на который Застрахованный находился в момент наступления страхового случая</w:t>
      </w:r>
    </w:p>
    <w:p w14:paraId="5E10D6D0">
      <w:pPr>
        <w:pStyle w:val="18"/>
        <w:ind w:left="102" w:right="108" w:firstLine="606"/>
        <w:jc w:val="both"/>
        <w:rPr>
          <w:b/>
          <w:lang w:val="kk-KZ"/>
        </w:rPr>
      </w:pPr>
      <w:r>
        <w:rPr>
          <w:b/>
        </w:rPr>
        <w:t>Период действия страховой защиты: 24 часа в сутки</w:t>
      </w:r>
    </w:p>
    <w:p w14:paraId="56FF4A3B">
      <w:pPr>
        <w:pStyle w:val="18"/>
        <w:ind w:left="102" w:right="108" w:firstLine="606"/>
        <w:jc w:val="both"/>
        <w:rPr>
          <w:lang w:val="kk-KZ"/>
        </w:rPr>
      </w:pPr>
      <w:r>
        <w:rPr>
          <w:lang w:val="kk-KZ"/>
        </w:rPr>
        <w:t>Отсутствие совокупного лимита ответственности по договору и /или по страховому случаю, при наступлении любого страхового случая в отношении Застрахованного все остальные страховые покрытия не прекращают свое действие в отношении данного застрахованного, Заключение договора без привлечения посредников (страховых агентов, консультантов) для оказания услуг по Договору, комиссионное вознаграждение по Договору не предусмотрено.</w:t>
      </w:r>
    </w:p>
    <w:p w14:paraId="6308D0FA">
      <w:pPr>
        <w:pStyle w:val="18"/>
        <w:ind w:left="102" w:right="104"/>
        <w:jc w:val="both"/>
      </w:pPr>
      <w:r>
        <w:rPr>
          <w:b/>
        </w:rPr>
        <w:t xml:space="preserve">           Страховые случаи - </w:t>
      </w:r>
      <w:r>
        <w:t>факт наступления несчастного случая,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пунктом 2 статьей 186 Трудового кодекса Республики Казахстан</w:t>
      </w:r>
    </w:p>
    <w:p w14:paraId="754A5613">
      <w:pPr>
        <w:pStyle w:val="18"/>
        <w:ind w:left="102" w:right="104"/>
        <w:jc w:val="both"/>
      </w:pPr>
      <w:r>
        <w:rPr>
          <w:b/>
        </w:rPr>
        <w:tab/>
      </w:r>
      <w:r>
        <w:rPr>
          <w:b/>
        </w:rPr>
        <w:t xml:space="preserve">Страховые выплаты - </w:t>
      </w:r>
      <w:r>
        <w:t>сумма денег, выплачиваемая страховщиком выгодоприобретателю в пределах страховой суммы при наступлении страхового случая</w:t>
      </w:r>
    </w:p>
    <w:p w14:paraId="456EE762">
      <w:pPr>
        <w:pStyle w:val="12"/>
        <w:overflowPunct/>
        <w:autoSpaceDE/>
        <w:autoSpaceDN/>
        <w:adjustRightInd/>
        <w:spacing w:after="0"/>
        <w:jc w:val="both"/>
        <w:textAlignment w:val="auto"/>
        <w:rPr>
          <w:sz w:val="22"/>
          <w:szCs w:val="22"/>
          <w:lang w:val="ru-RU"/>
        </w:rPr>
      </w:pPr>
      <w:r>
        <w:rPr>
          <w:b/>
          <w:sz w:val="22"/>
          <w:szCs w:val="22"/>
          <w:lang w:val="ru-RU"/>
        </w:rPr>
        <w:t xml:space="preserve">             Порядок оплаты - </w:t>
      </w:r>
      <w:r>
        <w:rPr>
          <w:sz w:val="22"/>
          <w:szCs w:val="22"/>
          <w:lang w:val="ru-RU"/>
        </w:rPr>
        <w:t>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оказанных Услуг. Форма акта оказания Услуг предварительно согласовывается Поставщиком с Заказчиком.</w:t>
      </w:r>
    </w:p>
    <w:p w14:paraId="62F3F81F">
      <w:pPr>
        <w:pStyle w:val="12"/>
        <w:overflowPunct/>
        <w:autoSpaceDE/>
        <w:autoSpaceDN/>
        <w:adjustRightInd/>
        <w:spacing w:after="0"/>
        <w:jc w:val="both"/>
        <w:textAlignment w:val="auto"/>
        <w:rPr>
          <w:sz w:val="22"/>
          <w:szCs w:val="22"/>
          <w:lang w:val="ru-RU"/>
        </w:rPr>
      </w:pPr>
    </w:p>
    <w:p w14:paraId="086C9914">
      <w:pPr>
        <w:pStyle w:val="12"/>
        <w:overflowPunct/>
        <w:autoSpaceDE/>
        <w:autoSpaceDN/>
        <w:adjustRightInd/>
        <w:spacing w:after="0"/>
        <w:jc w:val="both"/>
        <w:textAlignment w:val="auto"/>
        <w:rPr>
          <w:b/>
          <w:sz w:val="22"/>
          <w:szCs w:val="22"/>
          <w:lang w:val="ru-RU"/>
        </w:rPr>
      </w:pPr>
      <w:r>
        <w:rPr>
          <w:b/>
          <w:sz w:val="22"/>
          <w:szCs w:val="22"/>
          <w:lang w:val="ru-RU"/>
        </w:rPr>
        <w:t xml:space="preserve">  4. Общая стоимость страховых услуг по обязательному страхованию работников от несчастных случаев при исполнении ими трудовых (служебных) обязанностей.</w:t>
      </w:r>
    </w:p>
    <w:p w14:paraId="39AD00A8">
      <w:pPr>
        <w:pStyle w:val="12"/>
        <w:overflowPunct/>
        <w:autoSpaceDE/>
        <w:autoSpaceDN/>
        <w:adjustRightInd/>
        <w:spacing w:after="0"/>
        <w:jc w:val="both"/>
        <w:textAlignment w:val="auto"/>
        <w:rPr>
          <w:b/>
          <w:sz w:val="22"/>
          <w:szCs w:val="22"/>
          <w:lang w:val="ru-RU"/>
        </w:rPr>
      </w:pPr>
    </w:p>
    <w:p w14:paraId="0F902965">
      <w:pPr>
        <w:pStyle w:val="9"/>
        <w:ind w:left="0" w:firstLine="411"/>
        <w:rPr>
          <w:color w:val="FF00FF"/>
          <w:sz w:val="28"/>
          <w:szCs w:val="28"/>
        </w:rPr>
      </w:pPr>
    </w:p>
    <w:tbl>
      <w:tblPr>
        <w:tblStyle w:val="4"/>
        <w:tblW w:w="103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7"/>
        <w:gridCol w:w="3686"/>
        <w:gridCol w:w="3685"/>
      </w:tblGrid>
      <w:tr w14:paraId="6CE7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2977" w:type="dxa"/>
            <w:shd w:val="clear" w:color="auto" w:fill="auto"/>
            <w:noWrap/>
            <w:vAlign w:val="center"/>
          </w:tcPr>
          <w:p w14:paraId="320608EB">
            <w:pPr>
              <w:jc w:val="center"/>
              <w:rPr>
                <w:rFonts w:eastAsia="Batang"/>
                <w:b/>
                <w:bCs/>
                <w:sz w:val="22"/>
                <w:szCs w:val="22"/>
                <w:lang w:eastAsia="ko-KR"/>
              </w:rPr>
            </w:pPr>
            <w:r>
              <w:rPr>
                <w:rFonts w:eastAsia="Batang"/>
                <w:b/>
                <w:bCs/>
                <w:sz w:val="22"/>
                <w:szCs w:val="22"/>
                <w:lang w:eastAsia="ko-KR"/>
              </w:rPr>
              <w:t>Количество сотрудников</w:t>
            </w:r>
          </w:p>
        </w:tc>
        <w:tc>
          <w:tcPr>
            <w:tcW w:w="3686" w:type="dxa"/>
            <w:shd w:val="clear" w:color="auto" w:fill="auto"/>
            <w:vAlign w:val="center"/>
          </w:tcPr>
          <w:p w14:paraId="6A5A2CDA">
            <w:pPr>
              <w:jc w:val="center"/>
              <w:rPr>
                <w:rFonts w:eastAsia="Batang"/>
                <w:b/>
                <w:bCs/>
                <w:sz w:val="22"/>
                <w:szCs w:val="22"/>
                <w:lang w:eastAsia="ko-KR"/>
              </w:rPr>
            </w:pPr>
            <w:r>
              <w:rPr>
                <w:rFonts w:eastAsia="Batang"/>
                <w:b/>
                <w:bCs/>
                <w:sz w:val="22"/>
                <w:szCs w:val="22"/>
                <w:lang w:eastAsia="ko-KR"/>
              </w:rPr>
              <w:t>Годовой фонд заработной платы (тенге)</w:t>
            </w:r>
          </w:p>
        </w:tc>
        <w:tc>
          <w:tcPr>
            <w:tcW w:w="3685" w:type="dxa"/>
            <w:shd w:val="clear" w:color="auto" w:fill="auto"/>
            <w:vAlign w:val="center"/>
          </w:tcPr>
          <w:p w14:paraId="565B6101">
            <w:pPr>
              <w:jc w:val="center"/>
              <w:rPr>
                <w:rFonts w:eastAsia="Batang"/>
                <w:b/>
                <w:bCs/>
                <w:sz w:val="22"/>
                <w:szCs w:val="22"/>
                <w:lang w:eastAsia="ko-KR"/>
              </w:rPr>
            </w:pPr>
            <w:r>
              <w:rPr>
                <w:rFonts w:eastAsia="Batang"/>
                <w:b/>
                <w:bCs/>
                <w:sz w:val="22"/>
                <w:szCs w:val="22"/>
                <w:lang w:eastAsia="ko-KR"/>
              </w:rPr>
              <w:t>Страховая премия  (тенге)</w:t>
            </w:r>
          </w:p>
        </w:tc>
      </w:tr>
      <w:tr w14:paraId="48D5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977" w:type="dxa"/>
            <w:shd w:val="clear" w:color="auto" w:fill="FFFFFF"/>
            <w:noWrap/>
            <w:vAlign w:val="center"/>
          </w:tcPr>
          <w:p w14:paraId="648AB778">
            <w:pPr>
              <w:jc w:val="center"/>
              <w:rPr>
                <w:rFonts w:eastAsia="Batang"/>
                <w:sz w:val="28"/>
                <w:szCs w:val="28"/>
                <w:lang w:val="kk-KZ" w:eastAsia="ko-KR"/>
              </w:rPr>
            </w:pPr>
          </w:p>
          <w:p w14:paraId="3C7F0BE4">
            <w:pPr>
              <w:jc w:val="center"/>
              <w:rPr>
                <w:rFonts w:hint="default" w:eastAsia="Batang"/>
                <w:sz w:val="28"/>
                <w:szCs w:val="28"/>
                <w:lang w:val="en-US" w:eastAsia="ko-KR"/>
              </w:rPr>
            </w:pPr>
            <w:r>
              <w:rPr>
                <w:rFonts w:hint="default" w:eastAsia="Batang"/>
                <w:sz w:val="28"/>
                <w:szCs w:val="28"/>
                <w:lang w:val="en-US" w:eastAsia="ko-KR"/>
              </w:rPr>
              <w:t>65</w:t>
            </w:r>
          </w:p>
        </w:tc>
        <w:tc>
          <w:tcPr>
            <w:tcW w:w="3686" w:type="dxa"/>
            <w:shd w:val="clear" w:color="auto" w:fill="FFFFFF"/>
            <w:noWrap/>
            <w:vAlign w:val="bottom"/>
          </w:tcPr>
          <w:p w14:paraId="6CC37F05">
            <w:pPr>
              <w:jc w:val="center"/>
              <w:rPr>
                <w:bCs/>
                <w:sz w:val="28"/>
                <w:szCs w:val="28"/>
                <w:lang w:val="kk-KZ"/>
              </w:rPr>
            </w:pPr>
            <w:r>
              <w:rPr>
                <w:bCs/>
                <w:sz w:val="28"/>
                <w:szCs w:val="28"/>
                <w:lang w:val="kk-KZ"/>
              </w:rPr>
              <w:t>16</w:t>
            </w:r>
            <w:r>
              <w:rPr>
                <w:rFonts w:hint="default"/>
                <w:bCs/>
                <w:sz w:val="28"/>
                <w:szCs w:val="28"/>
                <w:lang w:val="en-US"/>
              </w:rPr>
              <w:t>165488</w:t>
            </w:r>
          </w:p>
        </w:tc>
        <w:tc>
          <w:tcPr>
            <w:tcW w:w="3685" w:type="dxa"/>
            <w:shd w:val="clear" w:color="auto" w:fill="FFFFFF"/>
            <w:noWrap/>
            <w:vAlign w:val="bottom"/>
          </w:tcPr>
          <w:p w14:paraId="3CFEBBA3">
            <w:pPr>
              <w:jc w:val="center"/>
              <w:rPr>
                <w:bCs/>
                <w:sz w:val="28"/>
                <w:szCs w:val="28"/>
              </w:rPr>
            </w:pPr>
          </w:p>
          <w:p w14:paraId="67C8BDAA">
            <w:pPr>
              <w:jc w:val="center"/>
              <w:rPr>
                <w:bCs/>
                <w:sz w:val="28"/>
                <w:szCs w:val="28"/>
                <w:lang w:val="kk-KZ"/>
              </w:rPr>
            </w:pPr>
            <w:r>
              <w:rPr>
                <w:rFonts w:hint="default"/>
                <w:bCs/>
                <w:sz w:val="28"/>
                <w:szCs w:val="28"/>
                <w:lang w:val="en-US"/>
              </w:rPr>
              <w:t>511928.67</w:t>
            </w:r>
            <w:bookmarkStart w:id="0" w:name="_GoBack"/>
            <w:bookmarkEnd w:id="0"/>
          </w:p>
        </w:tc>
      </w:tr>
    </w:tbl>
    <w:p w14:paraId="698B0BAD">
      <w:pPr>
        <w:tabs>
          <w:tab w:val="left" w:pos="9225"/>
        </w:tabs>
      </w:pPr>
    </w:p>
    <w:sectPr>
      <w:pgSz w:w="11907" w:h="16840"/>
      <w:pgMar w:top="426" w:right="567" w:bottom="284" w:left="993" w:header="181"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Batang">
    <w:altName w:val="Malgun Gothic"/>
    <w:panose1 w:val="02030600000101010101"/>
    <w:charset w:val="81"/>
    <w:family w:val="auto"/>
    <w:pitch w:val="default"/>
    <w:sig w:usb0="00000000" w:usb1="00000000" w:usb2="00000010" w:usb3="00000000" w:csb0="00080000" w:csb1="00000000"/>
  </w:font>
  <w:font w:name="바탕">
    <w:altName w:val="Segoe Print"/>
    <w:panose1 w:val="00000000000000000000"/>
    <w:charset w:val="00"/>
    <w:family w:val="auto"/>
    <w:pitch w:val="default"/>
    <w:sig w:usb0="00000000" w:usb1="00000000" w:usb2="00000000" w:usb3="00000000" w:csb0="00000000" w:csb1="00000000"/>
  </w:font>
  <w:font w:name="Arial">
    <w:panose1 w:val="020B0604020202020204"/>
    <w:charset w:val="CC"/>
    <w:family w:val="swiss"/>
    <w:pitch w:val="default"/>
    <w:sig w:usb0="E0002EFF" w:usb1="C000785B" w:usb2="00000009" w:usb3="00000000" w:csb0="400001FF" w:csb1="FFFF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0E2"/>
    <w:rsid w:val="00051B51"/>
    <w:rsid w:val="0005306C"/>
    <w:rsid w:val="00063F34"/>
    <w:rsid w:val="000668A8"/>
    <w:rsid w:val="000751E3"/>
    <w:rsid w:val="000939DA"/>
    <w:rsid w:val="000F0BDD"/>
    <w:rsid w:val="00112195"/>
    <w:rsid w:val="00115000"/>
    <w:rsid w:val="001212B6"/>
    <w:rsid w:val="00125BB1"/>
    <w:rsid w:val="001311EF"/>
    <w:rsid w:val="00172191"/>
    <w:rsid w:val="001A27AF"/>
    <w:rsid w:val="001A72C8"/>
    <w:rsid w:val="001B2204"/>
    <w:rsid w:val="001E42BB"/>
    <w:rsid w:val="001E4574"/>
    <w:rsid w:val="0020230D"/>
    <w:rsid w:val="002172CE"/>
    <w:rsid w:val="002413A2"/>
    <w:rsid w:val="002D5865"/>
    <w:rsid w:val="002D76B7"/>
    <w:rsid w:val="002E051A"/>
    <w:rsid w:val="002F30F4"/>
    <w:rsid w:val="003510EE"/>
    <w:rsid w:val="003658E4"/>
    <w:rsid w:val="00375AC4"/>
    <w:rsid w:val="00380EC1"/>
    <w:rsid w:val="00390C02"/>
    <w:rsid w:val="00397C8C"/>
    <w:rsid w:val="003A36E3"/>
    <w:rsid w:val="003A7497"/>
    <w:rsid w:val="003B74C6"/>
    <w:rsid w:val="003D748B"/>
    <w:rsid w:val="00421E81"/>
    <w:rsid w:val="0042329E"/>
    <w:rsid w:val="0043505A"/>
    <w:rsid w:val="00437ED5"/>
    <w:rsid w:val="00451D30"/>
    <w:rsid w:val="00456401"/>
    <w:rsid w:val="00471DC9"/>
    <w:rsid w:val="0048039D"/>
    <w:rsid w:val="00486F17"/>
    <w:rsid w:val="004C7266"/>
    <w:rsid w:val="004D0426"/>
    <w:rsid w:val="005231D7"/>
    <w:rsid w:val="0055063F"/>
    <w:rsid w:val="005556BD"/>
    <w:rsid w:val="00567455"/>
    <w:rsid w:val="00572582"/>
    <w:rsid w:val="00594BB3"/>
    <w:rsid w:val="00596EEF"/>
    <w:rsid w:val="005B4E1F"/>
    <w:rsid w:val="005C2076"/>
    <w:rsid w:val="005C3355"/>
    <w:rsid w:val="005C7500"/>
    <w:rsid w:val="005E1142"/>
    <w:rsid w:val="005F187E"/>
    <w:rsid w:val="00606B52"/>
    <w:rsid w:val="00617500"/>
    <w:rsid w:val="00640802"/>
    <w:rsid w:val="006521E6"/>
    <w:rsid w:val="00663C67"/>
    <w:rsid w:val="00682951"/>
    <w:rsid w:val="00684667"/>
    <w:rsid w:val="006B153D"/>
    <w:rsid w:val="006B6556"/>
    <w:rsid w:val="006C307C"/>
    <w:rsid w:val="006C66FD"/>
    <w:rsid w:val="006D4ACB"/>
    <w:rsid w:val="00707756"/>
    <w:rsid w:val="0072629E"/>
    <w:rsid w:val="00752C42"/>
    <w:rsid w:val="00761CCF"/>
    <w:rsid w:val="00765379"/>
    <w:rsid w:val="007755D5"/>
    <w:rsid w:val="007B1098"/>
    <w:rsid w:val="007D3302"/>
    <w:rsid w:val="00810330"/>
    <w:rsid w:val="008520A9"/>
    <w:rsid w:val="00871D91"/>
    <w:rsid w:val="008746DF"/>
    <w:rsid w:val="0088222E"/>
    <w:rsid w:val="008B0C52"/>
    <w:rsid w:val="008B4D7D"/>
    <w:rsid w:val="0092031C"/>
    <w:rsid w:val="009326F7"/>
    <w:rsid w:val="0096019D"/>
    <w:rsid w:val="00972921"/>
    <w:rsid w:val="00975C29"/>
    <w:rsid w:val="009831FC"/>
    <w:rsid w:val="009A1181"/>
    <w:rsid w:val="009C1B2C"/>
    <w:rsid w:val="009D0A2B"/>
    <w:rsid w:val="009D6565"/>
    <w:rsid w:val="009E0C14"/>
    <w:rsid w:val="00A06E08"/>
    <w:rsid w:val="00A17DA5"/>
    <w:rsid w:val="00A25FD6"/>
    <w:rsid w:val="00A3285D"/>
    <w:rsid w:val="00A44A8B"/>
    <w:rsid w:val="00A5369A"/>
    <w:rsid w:val="00A7100C"/>
    <w:rsid w:val="00A72545"/>
    <w:rsid w:val="00A75318"/>
    <w:rsid w:val="00A9196A"/>
    <w:rsid w:val="00AA1D68"/>
    <w:rsid w:val="00AB21CE"/>
    <w:rsid w:val="00AC5F8A"/>
    <w:rsid w:val="00AE29E5"/>
    <w:rsid w:val="00AE2AAC"/>
    <w:rsid w:val="00AF19A3"/>
    <w:rsid w:val="00B228A0"/>
    <w:rsid w:val="00B26E4F"/>
    <w:rsid w:val="00B32A46"/>
    <w:rsid w:val="00B344B2"/>
    <w:rsid w:val="00B42292"/>
    <w:rsid w:val="00B80F35"/>
    <w:rsid w:val="00BA19E4"/>
    <w:rsid w:val="00BA4017"/>
    <w:rsid w:val="00BC153E"/>
    <w:rsid w:val="00BD133A"/>
    <w:rsid w:val="00BE6DAA"/>
    <w:rsid w:val="00C004EC"/>
    <w:rsid w:val="00C11E84"/>
    <w:rsid w:val="00C37A20"/>
    <w:rsid w:val="00C56411"/>
    <w:rsid w:val="00C60280"/>
    <w:rsid w:val="00C60FE4"/>
    <w:rsid w:val="00C61B9C"/>
    <w:rsid w:val="00C77DD1"/>
    <w:rsid w:val="00C8124B"/>
    <w:rsid w:val="00CE73C0"/>
    <w:rsid w:val="00CF7CAD"/>
    <w:rsid w:val="00D107BF"/>
    <w:rsid w:val="00D16F27"/>
    <w:rsid w:val="00D240D7"/>
    <w:rsid w:val="00D32941"/>
    <w:rsid w:val="00D63ADF"/>
    <w:rsid w:val="00D72B5C"/>
    <w:rsid w:val="00D7608D"/>
    <w:rsid w:val="00D83F2D"/>
    <w:rsid w:val="00D85A78"/>
    <w:rsid w:val="00D85DE8"/>
    <w:rsid w:val="00D8682E"/>
    <w:rsid w:val="00D93E29"/>
    <w:rsid w:val="00DB145C"/>
    <w:rsid w:val="00DC0A18"/>
    <w:rsid w:val="00DF226C"/>
    <w:rsid w:val="00E0035A"/>
    <w:rsid w:val="00E770E1"/>
    <w:rsid w:val="00E77112"/>
    <w:rsid w:val="00E77689"/>
    <w:rsid w:val="00E93AE9"/>
    <w:rsid w:val="00EB3F42"/>
    <w:rsid w:val="00EB6885"/>
    <w:rsid w:val="00EE00E2"/>
    <w:rsid w:val="00EE738A"/>
    <w:rsid w:val="00F01D2F"/>
    <w:rsid w:val="00F04F80"/>
    <w:rsid w:val="00F106D1"/>
    <w:rsid w:val="00F3070F"/>
    <w:rsid w:val="00F3405E"/>
    <w:rsid w:val="00F65D3D"/>
    <w:rsid w:val="00F65EC6"/>
    <w:rsid w:val="00F8518E"/>
    <w:rsid w:val="00F91BA7"/>
    <w:rsid w:val="00F92585"/>
    <w:rsid w:val="00FA5072"/>
    <w:rsid w:val="00FC452B"/>
    <w:rsid w:val="00FF4C83"/>
    <w:rsid w:val="37F87BC9"/>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uiPriority="0" w:name="header"/>
    <w:lsdException w:uiPriority="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0"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imes New Roman" w:hAnsi="Times New Roman" w:eastAsia="Times New Roman" w:cs="Times New Roman"/>
      <w:lang w:val="ru-RU" w:eastAsia="ru-RU" w:bidi="ar-SA"/>
    </w:rPr>
  </w:style>
  <w:style w:type="paragraph" w:styleId="2">
    <w:name w:val="heading 1"/>
    <w:basedOn w:val="1"/>
    <w:link w:val="16"/>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annotation reference"/>
    <w:qFormat/>
    <w:uiPriority w:val="0"/>
    <w:rPr>
      <w:sz w:val="16"/>
      <w:szCs w:val="16"/>
    </w:rPr>
  </w:style>
  <w:style w:type="paragraph" w:styleId="6">
    <w:name w:val="Balloon Text"/>
    <w:basedOn w:val="1"/>
    <w:semiHidden/>
    <w:uiPriority w:val="0"/>
    <w:rPr>
      <w:rFonts w:ascii="Tahoma" w:hAnsi="Tahoma" w:cs="Tahoma"/>
      <w:sz w:val="16"/>
      <w:szCs w:val="16"/>
    </w:rPr>
  </w:style>
  <w:style w:type="paragraph" w:styleId="7">
    <w:name w:val="annotation text"/>
    <w:basedOn w:val="1"/>
    <w:link w:val="15"/>
    <w:qFormat/>
    <w:uiPriority w:val="0"/>
  </w:style>
  <w:style w:type="paragraph" w:styleId="8">
    <w:name w:val="Normal (Web)"/>
    <w:basedOn w:val="1"/>
    <w:qFormat/>
    <w:uiPriority w:val="99"/>
    <w:pPr>
      <w:spacing w:before="100" w:beforeAutospacing="1" w:after="100" w:afterAutospacing="1"/>
    </w:pPr>
    <w:rPr>
      <w:sz w:val="24"/>
      <w:szCs w:val="24"/>
    </w:rPr>
  </w:style>
  <w:style w:type="paragraph" w:styleId="9">
    <w:name w:val="Body Text Indent 2"/>
    <w:basedOn w:val="1"/>
    <w:link w:val="10"/>
    <w:qFormat/>
    <w:uiPriority w:val="0"/>
    <w:pPr>
      <w:ind w:left="993" w:hanging="993"/>
      <w:jc w:val="both"/>
    </w:pPr>
  </w:style>
  <w:style w:type="character" w:customStyle="1" w:styleId="10">
    <w:name w:val="Основной текст с отступом 2 Знак"/>
    <w:link w:val="9"/>
    <w:semiHidden/>
    <w:qFormat/>
    <w:locked/>
    <w:uiPriority w:val="0"/>
    <w:rPr>
      <w:lang w:val="ru-RU" w:eastAsia="ru-RU" w:bidi="ar-SA"/>
    </w:rPr>
  </w:style>
  <w:style w:type="character" w:customStyle="1" w:styleId="11">
    <w:name w:val="s0"/>
    <w:qFormat/>
    <w:uiPriority w:val="0"/>
    <w:rPr>
      <w:rFonts w:hint="default" w:ascii="Times New Roman" w:hAnsi="Times New Roman" w:cs="Times New Roman"/>
      <w:color w:val="000000"/>
      <w:sz w:val="22"/>
      <w:szCs w:val="22"/>
      <w:u w:val="none"/>
    </w:rPr>
  </w:style>
  <w:style w:type="paragraph" w:customStyle="1" w:styleId="12">
    <w:name w:val="BankNormal"/>
    <w:basedOn w:val="1"/>
    <w:qFormat/>
    <w:uiPriority w:val="0"/>
    <w:pPr>
      <w:overflowPunct w:val="0"/>
      <w:autoSpaceDE w:val="0"/>
      <w:autoSpaceDN w:val="0"/>
      <w:adjustRightInd w:val="0"/>
      <w:spacing w:after="240"/>
      <w:textAlignment w:val="baseline"/>
    </w:pPr>
    <w:rPr>
      <w:sz w:val="24"/>
      <w:lang w:val="en-US"/>
    </w:rPr>
  </w:style>
  <w:style w:type="paragraph" w:customStyle="1" w:styleId="13">
    <w:name w:val="Draft"/>
    <w:basedOn w:val="1"/>
    <w:qFormat/>
    <w:uiPriority w:val="0"/>
    <w:rPr>
      <w:sz w:val="24"/>
      <w:lang w:val="en-GB" w:eastAsia="en-US"/>
    </w:rPr>
  </w:style>
  <w:style w:type="character" w:customStyle="1" w:styleId="14">
    <w:name w:val="s1"/>
    <w:qFormat/>
    <w:uiPriority w:val="0"/>
    <w:rPr>
      <w:rFonts w:hint="default" w:ascii="Times New Roman" w:hAnsi="Times New Roman" w:cs="Times New Roman"/>
      <w:b/>
      <w:bCs/>
      <w:color w:val="000000"/>
      <w:sz w:val="32"/>
      <w:szCs w:val="32"/>
      <w:u w:val="none"/>
    </w:rPr>
  </w:style>
  <w:style w:type="character" w:customStyle="1" w:styleId="15">
    <w:name w:val="Текст примечания Знак"/>
    <w:basedOn w:val="3"/>
    <w:link w:val="7"/>
    <w:qFormat/>
    <w:uiPriority w:val="0"/>
  </w:style>
  <w:style w:type="character" w:customStyle="1" w:styleId="16">
    <w:name w:val="Заголовок 1 Знак"/>
    <w:link w:val="2"/>
    <w:qFormat/>
    <w:uiPriority w:val="9"/>
    <w:rPr>
      <w:b/>
      <w:bCs/>
      <w:kern w:val="36"/>
      <w:sz w:val="48"/>
      <w:szCs w:val="48"/>
    </w:rPr>
  </w:style>
  <w:style w:type="paragraph" w:styleId="17">
    <w:name w:val="No Spacing"/>
    <w:qFormat/>
    <w:uiPriority w:val="1"/>
    <w:rPr>
      <w:rFonts w:ascii="Times New Roman" w:hAnsi="Times New Roman" w:eastAsia="Times New Roman" w:cs="Times New Roman"/>
      <w:lang w:val="ru-RU" w:eastAsia="ru-RU" w:bidi="ar-SA"/>
    </w:rPr>
  </w:style>
  <w:style w:type="paragraph" w:customStyle="1" w:styleId="18">
    <w:name w:val="Table Paragraph"/>
    <w:basedOn w:val="1"/>
    <w:qFormat/>
    <w:uiPriority w:val="1"/>
    <w:pPr>
      <w:widowControl w:val="0"/>
      <w:autoSpaceDE w:val="0"/>
      <w:autoSpaceDN w:val="0"/>
      <w:ind w:left="107"/>
    </w:pPr>
    <w:rPr>
      <w:sz w:val="22"/>
      <w:szCs w:val="22"/>
      <w:lang w:eastAsia="en-US"/>
    </w:rPr>
  </w:style>
  <w:style w:type="paragraph" w:styleId="19">
    <w:name w:val="List Paragraph"/>
    <w:basedOn w:val="1"/>
    <w:qFormat/>
    <w:uiPriority w:val="1"/>
    <w:pPr>
      <w:widowControl w:val="0"/>
      <w:autoSpaceDE w:val="0"/>
      <w:autoSpaceDN w:val="0"/>
      <w:ind w:left="647" w:right="462" w:hanging="360"/>
      <w:jc w:val="both"/>
    </w:pPr>
    <w:rPr>
      <w:sz w:val="22"/>
      <w:szCs w:val="22"/>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UnO</Company>
  <Pages>2</Pages>
  <Words>850</Words>
  <Characters>6436</Characters>
  <Lines>52</Lines>
  <Paragraphs>14</Paragraphs>
  <TotalTime>1</TotalTime>
  <ScaleCrop>false</ScaleCrop>
  <LinksUpToDate>false</LinksUpToDate>
  <CharactersWithSpaces>7316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2025-08-27T18:11:00Z</dcterms:created>
  <dc:creator>OksanaS</dc:creator>
  <cp:lastModifiedBy>user</cp:lastModifiedBy>
  <cp:lastPrinted>2025-08-13T12:11:00Z</cp:lastPrinted>
  <dcterms:modified xsi:type="dcterms:W3CDTF">2026-10-18T11:08:04Z</dcterms:modified>
  <dc:title>ТЕХНИЧЕСКАЯ СПЕЦИФИКАЦИЯ</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eyJoZGlkIjoiMjNiNjkxZTY1MjI0NjkyZjg5MjRmZDg1MmFjNmZlNmMifQ==</vt:lpwstr>
  </property>
  <property fmtid="{D5CDD505-2E9C-101B-9397-08002B2CF9AE}" pid="3" name="KSOProductBuildVer">
    <vt:lpwstr>1049-12.1.0.29162</vt:lpwstr>
  </property>
  <property fmtid="{D5CDD505-2E9C-101B-9397-08002B2CF9AE}" pid="4" name="ICV">
    <vt:lpwstr>EE15CF078B364755ACCE90122A612246_13</vt:lpwstr>
  </property>
</Properties>
</file>