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4D0D70">
      <w:pPr>
        <w:spacing w:after="0" w:line="240" w:lineRule="auto"/>
        <w:rPr>
          <w:rFonts w:cs="Times New Roman"/>
          <w:sz w:val="22"/>
        </w:rPr>
      </w:pPr>
    </w:p>
    <w:p w14:paraId="3955E10B">
      <w:pPr>
        <w:spacing w:after="0" w:line="240" w:lineRule="auto"/>
        <w:ind w:left="5812"/>
        <w:rPr>
          <w:rFonts w:cs="Times New Roman"/>
          <w:sz w:val="22"/>
          <w:lang w:val="ru-RU"/>
        </w:rPr>
      </w:pPr>
      <w:r>
        <w:rPr>
          <w:rFonts w:cs="Times New Roman"/>
          <w:b/>
          <w:color w:val="000000"/>
          <w:sz w:val="22"/>
          <w:lang w:val="ru-RU"/>
        </w:rPr>
        <w:t>УТВЕРЖДАЮ</w:t>
      </w:r>
    </w:p>
    <w:p w14:paraId="4F74652D">
      <w:pPr>
        <w:spacing w:after="0" w:line="240" w:lineRule="auto"/>
        <w:ind w:left="5812"/>
        <w:rPr>
          <w:rFonts w:cs="Times New Roman"/>
          <w:color w:val="000000"/>
          <w:sz w:val="22"/>
          <w:highlight w:val="yellow"/>
          <w:lang w:val="ru-RU"/>
        </w:rPr>
      </w:pPr>
      <w:r>
        <w:rPr>
          <w:rFonts w:cs="Times New Roman"/>
          <w:color w:val="000000"/>
          <w:sz w:val="22"/>
          <w:highlight w:val="yellow"/>
          <w:lang w:val="ru-RU"/>
        </w:rPr>
        <w:t>Директор</w:t>
      </w:r>
      <w:r>
        <w:rPr>
          <w:rFonts w:hint="default" w:cs="Times New Roman"/>
          <w:color w:val="000000"/>
          <w:sz w:val="22"/>
          <w:highlight w:val="yellow"/>
          <w:lang w:val="ru-RU"/>
        </w:rPr>
        <w:t xml:space="preserve"> школы</w:t>
      </w:r>
      <w:r>
        <w:rPr>
          <w:rFonts w:cs="Times New Roman"/>
          <w:color w:val="000000"/>
          <w:sz w:val="22"/>
          <w:highlight w:val="yellow"/>
          <w:lang w:val="ru-RU"/>
        </w:rPr>
        <w:t xml:space="preserve"> </w:t>
      </w:r>
    </w:p>
    <w:p w14:paraId="2EA74095">
      <w:pPr>
        <w:spacing w:after="0" w:line="240" w:lineRule="auto"/>
        <w:rPr>
          <w:rFonts w:cs="Times New Roman"/>
          <w:sz w:val="22"/>
          <w:lang w:val="ru-RU"/>
        </w:rPr>
      </w:pPr>
    </w:p>
    <w:p w14:paraId="616568F2">
      <w:pPr>
        <w:spacing w:after="0" w:line="240" w:lineRule="auto"/>
        <w:ind w:left="5812"/>
        <w:rPr>
          <w:rFonts w:hint="default" w:cs="Times New Roman"/>
          <w:sz w:val="22"/>
          <w:lang w:val="kk-KZ"/>
        </w:rPr>
      </w:pPr>
      <w:r>
        <w:rPr>
          <w:rFonts w:cs="Times New Roman"/>
          <w:color w:val="000000"/>
          <w:sz w:val="22"/>
          <w:highlight w:val="yellow"/>
          <w:lang w:val="ru-RU"/>
        </w:rPr>
        <w:t>______________</w:t>
      </w:r>
      <w:r>
        <w:rPr>
          <w:rFonts w:cs="Times New Roman"/>
          <w:color w:val="000000"/>
          <w:sz w:val="22"/>
          <w:highlight w:val="yellow"/>
          <w:lang w:val="kk-KZ"/>
        </w:rPr>
        <w:t>М</w:t>
      </w:r>
      <w:r>
        <w:rPr>
          <w:rFonts w:hint="default" w:cs="Times New Roman"/>
          <w:color w:val="000000"/>
          <w:sz w:val="22"/>
          <w:highlight w:val="yellow"/>
          <w:lang w:val="kk-KZ"/>
        </w:rPr>
        <w:t>.Тенельбаева</w:t>
      </w:r>
    </w:p>
    <w:p w14:paraId="0BFA4689">
      <w:pPr>
        <w:pStyle w:val="25"/>
        <w:keepNext/>
        <w:spacing w:after="0"/>
        <w:ind w:left="5812"/>
        <w:rPr>
          <w:rFonts w:ascii="Times New Roman" w:hAnsi="Times New Roman" w:eastAsia="Times New Roman" w:cs="Times New Roman"/>
          <w:sz w:val="22"/>
          <w:szCs w:val="22"/>
          <w:lang w:val="ru-RU"/>
        </w:rPr>
      </w:pPr>
      <w:r>
        <w:rPr>
          <w:rFonts w:ascii="Times New Roman" w:hAnsi="Times New Roman" w:eastAsia="Times New Roman" w:cs="Times New Roman"/>
          <w:b w:val="0"/>
          <w:sz w:val="22"/>
          <w:szCs w:val="22"/>
          <w:highlight w:val="yellow"/>
        </w:rPr>
        <w:t>«</w:t>
      </w:r>
      <w:r>
        <w:rPr>
          <w:rFonts w:hint="default" w:ascii="Times New Roman" w:hAnsi="Times New Roman" w:eastAsia="Times New Roman" w:cs="Times New Roman"/>
          <w:b w:val="0"/>
          <w:sz w:val="22"/>
          <w:szCs w:val="22"/>
          <w:highlight w:val="yellow"/>
          <w:lang w:val="ru-RU"/>
        </w:rPr>
        <w:t>20</w:t>
      </w:r>
      <w:r>
        <w:rPr>
          <w:rFonts w:ascii="Times New Roman" w:hAnsi="Times New Roman" w:eastAsia="Times New Roman" w:cs="Times New Roman"/>
          <w:b w:val="0"/>
          <w:sz w:val="22"/>
          <w:szCs w:val="22"/>
          <w:highlight w:val="yellow"/>
        </w:rPr>
        <w:t xml:space="preserve">» </w:t>
      </w:r>
      <w:r>
        <w:rPr>
          <w:rFonts w:ascii="Times New Roman" w:hAnsi="Times New Roman" w:eastAsia="Times New Roman" w:cs="Times New Roman"/>
          <w:b w:val="0"/>
          <w:sz w:val="22"/>
          <w:szCs w:val="22"/>
          <w:highlight w:val="yellow"/>
          <w:lang w:val="ru-RU"/>
        </w:rPr>
        <w:t>октябрь</w:t>
      </w:r>
      <w:r>
        <w:rPr>
          <w:rFonts w:hint="default" w:ascii="Times New Roman" w:hAnsi="Times New Roman" w:eastAsia="Times New Roman" w:cs="Times New Roman"/>
          <w:b w:val="0"/>
          <w:sz w:val="22"/>
          <w:szCs w:val="22"/>
          <w:highlight w:val="yellow"/>
          <w:lang w:val="ru-RU"/>
        </w:rPr>
        <w:t xml:space="preserve"> </w:t>
      </w:r>
      <w:r>
        <w:rPr>
          <w:rFonts w:ascii="Times New Roman" w:hAnsi="Times New Roman" w:eastAsia="Times New Roman" w:cs="Times New Roman"/>
          <w:b w:val="0"/>
          <w:sz w:val="22"/>
          <w:szCs w:val="22"/>
          <w:highlight w:val="yellow"/>
        </w:rPr>
        <w:t>2026 года</w:t>
      </w:r>
    </w:p>
    <w:p w14:paraId="4AFA347E">
      <w:pPr>
        <w:pStyle w:val="25"/>
        <w:keepNext/>
        <w:spacing w:after="0"/>
        <w:jc w:val="center"/>
        <w:rPr>
          <w:rFonts w:ascii="Times New Roman" w:hAnsi="Times New Roman" w:eastAsia="Times New Roman" w:cs="Times New Roman"/>
          <w:sz w:val="22"/>
          <w:szCs w:val="22"/>
          <w:lang w:val="ru-RU"/>
        </w:rPr>
      </w:pPr>
    </w:p>
    <w:p w14:paraId="75093EAD">
      <w:pPr>
        <w:pStyle w:val="25"/>
        <w:keepNext/>
        <w:spacing w:after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>Техническая спецификация</w:t>
      </w:r>
    </w:p>
    <w:p w14:paraId="08A4C65C">
      <w:pPr>
        <w:keepNext/>
        <w:spacing w:after="0" w:line="240" w:lineRule="auto"/>
        <w:jc w:val="center"/>
        <w:rPr>
          <w:rFonts w:cs="Times New Roman"/>
          <w:bCs/>
          <w:color w:val="000000"/>
          <w:sz w:val="22"/>
          <w:lang w:val="ru-RU"/>
        </w:rPr>
      </w:pPr>
      <w:r>
        <w:rPr>
          <w:rFonts w:cs="Times New Roman"/>
          <w:bCs/>
          <w:color w:val="000000"/>
          <w:sz w:val="22"/>
          <w:lang w:val="ru-RU"/>
        </w:rPr>
        <w:t xml:space="preserve">на услуги по администрированию и техническому обслуживанию </w:t>
      </w:r>
    </w:p>
    <w:p w14:paraId="7EB66D80">
      <w:pPr>
        <w:keepNext/>
        <w:spacing w:after="0" w:line="240" w:lineRule="auto"/>
        <w:jc w:val="center"/>
        <w:rPr>
          <w:rFonts w:cs="Times New Roman"/>
          <w:bCs/>
          <w:sz w:val="22"/>
          <w:lang w:val="ru-RU"/>
        </w:rPr>
      </w:pPr>
      <w:r>
        <w:rPr>
          <w:rFonts w:cs="Times New Roman"/>
          <w:bCs/>
          <w:color w:val="000000"/>
          <w:sz w:val="22"/>
          <w:lang w:val="ru-RU"/>
        </w:rPr>
        <w:t xml:space="preserve">действующего АПК </w:t>
      </w:r>
      <w:r>
        <w:rPr>
          <w:rFonts w:cs="Times New Roman"/>
          <w:bCs/>
          <w:color w:val="000000"/>
          <w:sz w:val="22"/>
        </w:rPr>
        <w:t>Alaqan</w:t>
      </w:r>
      <w:r>
        <w:rPr>
          <w:rFonts w:cs="Times New Roman"/>
          <w:bCs/>
          <w:color w:val="000000"/>
          <w:sz w:val="22"/>
          <w:lang w:val="ru-RU"/>
        </w:rPr>
        <w:t xml:space="preserve"> </w:t>
      </w:r>
      <w:r>
        <w:rPr>
          <w:rFonts w:cs="Times New Roman"/>
          <w:bCs/>
          <w:color w:val="000000"/>
          <w:sz w:val="22"/>
        </w:rPr>
        <w:t>Mektep</w:t>
      </w:r>
    </w:p>
    <w:p w14:paraId="3793D50A">
      <w:pPr>
        <w:keepNext/>
        <w:spacing w:after="0" w:line="240" w:lineRule="auto"/>
        <w:jc w:val="center"/>
        <w:rPr>
          <w:rFonts w:cs="Times New Roman"/>
          <w:bCs/>
          <w:sz w:val="22"/>
          <w:lang w:val="ru-RU"/>
        </w:rPr>
      </w:pPr>
      <w:r>
        <w:rPr>
          <w:rFonts w:cs="Times New Roman"/>
          <w:bCs/>
          <w:color w:val="000000"/>
          <w:sz w:val="22"/>
          <w:lang w:val="ru-RU"/>
        </w:rPr>
        <w:t>с продлением лицензионного доступа к облачной платформе</w:t>
      </w:r>
    </w:p>
    <w:p w14:paraId="026CBB9E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3D60BF1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 xml:space="preserve">Настоящая техническая спецификация определяет состав одной комплексной услуги, необходимой для возобновления и непрерывной работы ранее установленного в школе аппаратно-программного комплекса </w:t>
      </w:r>
      <w:r>
        <w:rPr>
          <w:rFonts w:cs="Times New Roman"/>
          <w:color w:val="000000"/>
          <w:sz w:val="22"/>
        </w:rPr>
        <w:t>Alaqan</w:t>
      </w:r>
      <w:r>
        <w:rPr>
          <w:rFonts w:cs="Times New Roman"/>
          <w:color w:val="000000"/>
          <w:sz w:val="22"/>
          <w:lang w:val="ru-RU"/>
        </w:rPr>
        <w:t xml:space="preserve"> </w:t>
      </w:r>
      <w:r>
        <w:rPr>
          <w:rFonts w:cs="Times New Roman"/>
          <w:color w:val="000000"/>
          <w:sz w:val="22"/>
        </w:rPr>
        <w:t>Mektep</w:t>
      </w:r>
      <w:r>
        <w:rPr>
          <w:rFonts w:cs="Times New Roman"/>
          <w:color w:val="000000"/>
          <w:sz w:val="22"/>
          <w:lang w:val="ru-RU"/>
        </w:rPr>
        <w:t xml:space="preserve"> до 31 декабря 2026 года.</w:t>
      </w:r>
    </w:p>
    <w:p w14:paraId="115DA72E">
      <w:pPr>
        <w:pStyle w:val="2"/>
        <w:spacing w:before="0" w:line="240" w:lineRule="auto"/>
        <w:rPr>
          <w:rFonts w:ascii="Times New Roman" w:hAnsi="Times New Roman" w:eastAsia="Times New Roman" w:cs="Times New Roman"/>
          <w:sz w:val="22"/>
          <w:szCs w:val="22"/>
          <w:lang w:val="ru-RU"/>
        </w:rPr>
      </w:pPr>
    </w:p>
    <w:p w14:paraId="4390BD9C">
      <w:pPr>
        <w:pStyle w:val="2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>1</w:t>
      </w: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>.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 Основные сведения о закупке</w:t>
      </w:r>
    </w:p>
    <w:tbl>
      <w:tblPr>
        <w:tblStyle w:val="12"/>
        <w:tblW w:w="10205" w:type="dxa"/>
        <w:jc w:val="center"/>
        <w:tblBorders>
          <w:top w:val="single" w:color="A6A6A6" w:sz="6" w:space="0"/>
          <w:left w:val="single" w:color="A6A6A6" w:sz="6" w:space="0"/>
          <w:bottom w:val="single" w:color="A6A6A6" w:sz="6" w:space="0"/>
          <w:right w:val="single" w:color="A6A6A6" w:sz="6" w:space="0"/>
          <w:insideH w:val="single" w:color="A6A6A6" w:sz="6" w:space="0"/>
          <w:insideV w:val="single" w:color="A6A6A6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71"/>
        <w:gridCol w:w="6434"/>
      </w:tblGrid>
      <w:tr w14:paraId="25E7635D">
        <w:tblPrEx>
          <w:tblBorders>
            <w:top w:val="single" w:color="A6A6A6" w:sz="6" w:space="0"/>
            <w:left w:val="single" w:color="A6A6A6" w:sz="6" w:space="0"/>
            <w:bottom w:val="single" w:color="A6A6A6" w:sz="6" w:space="0"/>
            <w:right w:val="single" w:color="A6A6A6" w:sz="6" w:space="0"/>
            <w:insideH w:val="single" w:color="A6A6A6" w:sz="6" w:space="0"/>
            <w:insideV w:val="single" w:color="A6A6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3771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2C6F01A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b/>
                <w:color w:val="000000"/>
                <w:sz w:val="22"/>
              </w:rPr>
              <w:t>Показатель</w:t>
            </w:r>
          </w:p>
        </w:tc>
        <w:tc>
          <w:tcPr>
            <w:tcW w:w="6434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4F5D489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b/>
                <w:color w:val="000000"/>
                <w:sz w:val="22"/>
              </w:rPr>
              <w:t>Содержание</w:t>
            </w:r>
          </w:p>
        </w:tc>
      </w:tr>
      <w:tr w14:paraId="07B6B191">
        <w:tblPrEx>
          <w:tblBorders>
            <w:top w:val="single" w:color="A6A6A6" w:sz="6" w:space="0"/>
            <w:left w:val="single" w:color="A6A6A6" w:sz="6" w:space="0"/>
            <w:bottom w:val="single" w:color="A6A6A6" w:sz="6" w:space="0"/>
            <w:right w:val="single" w:color="A6A6A6" w:sz="6" w:space="0"/>
            <w:insideH w:val="single" w:color="A6A6A6" w:sz="6" w:space="0"/>
            <w:insideV w:val="single" w:color="A6A6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8DBA739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b/>
                <w:color w:val="000000"/>
                <w:sz w:val="22"/>
              </w:rPr>
              <w:t>Наименование заказчика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DAB17A3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ascii="sans-serif" w:hAnsi="sans-serif" w:eastAsia="sans-serif" w:cs="sans-serif"/>
                <w:i w:val="0"/>
                <w:iCs w:val="0"/>
                <w:caps w:val="0"/>
                <w:color w:val="2A2C31"/>
                <w:spacing w:val="0"/>
                <w:sz w:val="21"/>
                <w:szCs w:val="21"/>
                <w:shd w:val="clear" w:fill="EEF4F8"/>
              </w:rPr>
              <w:t>КГУ "Основная средняя школа имени Ж.Нажимеденова"</w:t>
            </w:r>
            <w:r>
              <w:rPr>
                <w:rFonts w:hint="default" w:cs="Times New Roman"/>
                <w:sz w:val="22"/>
                <w:lang w:val="ru-RU"/>
              </w:rPr>
              <w:t>»</w:t>
            </w:r>
          </w:p>
        </w:tc>
      </w:tr>
      <w:tr w14:paraId="0F982FD9">
        <w:tblPrEx>
          <w:tblBorders>
            <w:top w:val="single" w:color="A6A6A6" w:sz="6" w:space="0"/>
            <w:left w:val="single" w:color="A6A6A6" w:sz="6" w:space="0"/>
            <w:bottom w:val="single" w:color="A6A6A6" w:sz="6" w:space="0"/>
            <w:right w:val="single" w:color="A6A6A6" w:sz="6" w:space="0"/>
            <w:insideH w:val="single" w:color="A6A6A6" w:sz="6" w:space="0"/>
            <w:insideV w:val="single" w:color="A6A6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6C6C9FE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b/>
                <w:color w:val="000000"/>
                <w:sz w:val="22"/>
              </w:rPr>
              <w:t>БИН заказчика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33FBF3D">
            <w:pPr>
              <w:spacing w:after="0" w:line="240" w:lineRule="auto"/>
              <w:rPr>
                <w:rFonts w:hint="default" w:cs="Times New Roman"/>
                <w:sz w:val="22"/>
                <w:lang w:val="kk-KZ"/>
              </w:rPr>
            </w:pPr>
            <w:r>
              <w:rPr>
                <w:rFonts w:hint="default" w:cs="Times New Roman"/>
                <w:sz w:val="22"/>
                <w:lang w:val="ru-RU"/>
              </w:rPr>
              <w:t>00034000</w:t>
            </w:r>
            <w:r>
              <w:rPr>
                <w:rFonts w:hint="default" w:cs="Times New Roman"/>
                <w:sz w:val="22"/>
                <w:lang w:val="kk-KZ"/>
              </w:rPr>
              <w:t>0654</w:t>
            </w:r>
          </w:p>
        </w:tc>
      </w:tr>
      <w:tr w14:paraId="2F619B96">
        <w:tblPrEx>
          <w:tblBorders>
            <w:top w:val="single" w:color="A6A6A6" w:sz="6" w:space="0"/>
            <w:left w:val="single" w:color="A6A6A6" w:sz="6" w:space="0"/>
            <w:bottom w:val="single" w:color="A6A6A6" w:sz="6" w:space="0"/>
            <w:right w:val="single" w:color="A6A6A6" w:sz="6" w:space="0"/>
            <w:insideH w:val="single" w:color="A6A6A6" w:sz="6" w:space="0"/>
            <w:insideV w:val="single" w:color="A6A6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C706382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b/>
                <w:color w:val="000000"/>
                <w:sz w:val="22"/>
              </w:rPr>
              <w:t>Способ закупки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EA65D99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color w:val="000000"/>
                <w:sz w:val="22"/>
              </w:rPr>
              <w:t>Запрос ценовых предложений</w:t>
            </w:r>
          </w:p>
        </w:tc>
      </w:tr>
      <w:tr w14:paraId="00581BED">
        <w:tblPrEx>
          <w:tblBorders>
            <w:top w:val="single" w:color="A6A6A6" w:sz="6" w:space="0"/>
            <w:left w:val="single" w:color="A6A6A6" w:sz="6" w:space="0"/>
            <w:bottom w:val="single" w:color="A6A6A6" w:sz="6" w:space="0"/>
            <w:right w:val="single" w:color="A6A6A6" w:sz="6" w:space="0"/>
            <w:insideH w:val="single" w:color="A6A6A6" w:sz="6" w:space="0"/>
            <w:insideV w:val="single" w:color="A6A6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E9A9DA3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b/>
                <w:color w:val="000000"/>
                <w:sz w:val="22"/>
              </w:rPr>
              <w:t>Код ЕНС ТРУ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C9E4F62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color w:val="000000"/>
                <w:sz w:val="22"/>
              </w:rPr>
              <w:t>620920.000.000002</w:t>
            </w:r>
          </w:p>
        </w:tc>
      </w:tr>
      <w:tr w14:paraId="4CE1C831">
        <w:tblPrEx>
          <w:tblBorders>
            <w:top w:val="single" w:color="A6A6A6" w:sz="6" w:space="0"/>
            <w:left w:val="single" w:color="A6A6A6" w:sz="6" w:space="0"/>
            <w:bottom w:val="single" w:color="A6A6A6" w:sz="6" w:space="0"/>
            <w:right w:val="single" w:color="A6A6A6" w:sz="6" w:space="0"/>
            <w:insideH w:val="single" w:color="A6A6A6" w:sz="6" w:space="0"/>
            <w:insideV w:val="single" w:color="A6A6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F3404D9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>
              <w:rPr>
                <w:rFonts w:cs="Times New Roman"/>
                <w:b/>
                <w:color w:val="000000"/>
                <w:sz w:val="22"/>
                <w:lang w:val="ru-RU"/>
              </w:rPr>
              <w:t>Наименование услуги по ЕНС ТРУ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9AAEA0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>
              <w:rPr>
                <w:rFonts w:cs="Times New Roman"/>
                <w:color w:val="000000"/>
                <w:sz w:val="22"/>
                <w:lang w:val="ru-RU"/>
              </w:rPr>
              <w:t>Услуги по администрированию и техническому обслуживанию программно-аппаратного комплекса</w:t>
            </w:r>
          </w:p>
        </w:tc>
      </w:tr>
      <w:tr w14:paraId="2850232E">
        <w:tblPrEx>
          <w:tblBorders>
            <w:top w:val="single" w:color="A6A6A6" w:sz="6" w:space="0"/>
            <w:left w:val="single" w:color="A6A6A6" w:sz="6" w:space="0"/>
            <w:bottom w:val="single" w:color="A6A6A6" w:sz="6" w:space="0"/>
            <w:right w:val="single" w:color="A6A6A6" w:sz="6" w:space="0"/>
            <w:insideH w:val="single" w:color="A6A6A6" w:sz="6" w:space="0"/>
            <w:insideV w:val="single" w:color="A6A6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CC9E6FB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b/>
                <w:color w:val="000000"/>
                <w:sz w:val="22"/>
              </w:rPr>
              <w:t>Единица измерения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8AEE33B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color w:val="000000"/>
                <w:sz w:val="22"/>
              </w:rPr>
              <w:t>Услуга</w:t>
            </w:r>
          </w:p>
        </w:tc>
      </w:tr>
      <w:tr w14:paraId="58A1672E">
        <w:tblPrEx>
          <w:tblBorders>
            <w:top w:val="single" w:color="A6A6A6" w:sz="6" w:space="0"/>
            <w:left w:val="single" w:color="A6A6A6" w:sz="6" w:space="0"/>
            <w:bottom w:val="single" w:color="A6A6A6" w:sz="6" w:space="0"/>
            <w:right w:val="single" w:color="A6A6A6" w:sz="6" w:space="0"/>
            <w:insideH w:val="single" w:color="A6A6A6" w:sz="6" w:space="0"/>
            <w:insideV w:val="single" w:color="A6A6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5625FE6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b/>
                <w:color w:val="000000"/>
                <w:sz w:val="22"/>
              </w:rPr>
              <w:t>Количество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A05B945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color w:val="000000"/>
                <w:sz w:val="22"/>
              </w:rPr>
              <w:t>1</w:t>
            </w:r>
          </w:p>
        </w:tc>
      </w:tr>
      <w:tr w14:paraId="3F3ACC94">
        <w:tblPrEx>
          <w:tblBorders>
            <w:top w:val="single" w:color="A6A6A6" w:sz="6" w:space="0"/>
            <w:left w:val="single" w:color="A6A6A6" w:sz="6" w:space="0"/>
            <w:bottom w:val="single" w:color="A6A6A6" w:sz="6" w:space="0"/>
            <w:right w:val="single" w:color="A6A6A6" w:sz="6" w:space="0"/>
            <w:insideH w:val="single" w:color="A6A6A6" w:sz="6" w:space="0"/>
            <w:insideV w:val="single" w:color="A6A6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30024C1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>
              <w:rPr>
                <w:rFonts w:cs="Times New Roman"/>
                <w:b/>
                <w:color w:val="000000"/>
                <w:sz w:val="22"/>
                <w:lang w:val="ru-RU"/>
              </w:rPr>
              <w:t>Цена за единицу без НДС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78EE02B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color w:val="000000"/>
                <w:sz w:val="22"/>
                <w:lang w:val="ru-RU"/>
              </w:rPr>
              <w:t>1 595 940</w:t>
            </w:r>
            <w:r>
              <w:rPr>
                <w:rFonts w:cs="Times New Roman"/>
                <w:color w:val="000000"/>
                <w:sz w:val="22"/>
              </w:rPr>
              <w:t xml:space="preserve"> тенге</w:t>
            </w:r>
          </w:p>
        </w:tc>
      </w:tr>
      <w:tr w14:paraId="6291A86B">
        <w:tblPrEx>
          <w:tblBorders>
            <w:top w:val="single" w:color="A6A6A6" w:sz="6" w:space="0"/>
            <w:left w:val="single" w:color="A6A6A6" w:sz="6" w:space="0"/>
            <w:bottom w:val="single" w:color="A6A6A6" w:sz="6" w:space="0"/>
            <w:right w:val="single" w:color="A6A6A6" w:sz="6" w:space="0"/>
            <w:insideH w:val="single" w:color="A6A6A6" w:sz="6" w:space="0"/>
            <w:insideV w:val="single" w:color="A6A6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DC72674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b/>
                <w:color w:val="000000"/>
                <w:sz w:val="22"/>
              </w:rPr>
              <w:t>Общая сумма без НДС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C1AFE10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>
              <w:rPr>
                <w:rFonts w:cs="Times New Roman"/>
                <w:color w:val="000000"/>
                <w:sz w:val="22"/>
                <w:lang w:val="ru-RU"/>
              </w:rPr>
              <w:t>1 595 940</w:t>
            </w:r>
            <w:r>
              <w:rPr>
                <w:rFonts w:cs="Times New Roman"/>
                <w:color w:val="000000"/>
                <w:sz w:val="22"/>
              </w:rPr>
              <w:t xml:space="preserve"> тенге</w:t>
            </w:r>
            <w:r>
              <w:rPr>
                <w:rFonts w:cs="Times New Roman"/>
                <w:color w:val="000000"/>
                <w:sz w:val="22"/>
                <w:lang w:val="ru-RU"/>
              </w:rPr>
              <w:t xml:space="preserve"> </w:t>
            </w:r>
          </w:p>
        </w:tc>
      </w:tr>
      <w:tr w14:paraId="58AC17D6">
        <w:tblPrEx>
          <w:tblBorders>
            <w:top w:val="single" w:color="A6A6A6" w:sz="6" w:space="0"/>
            <w:left w:val="single" w:color="A6A6A6" w:sz="6" w:space="0"/>
            <w:bottom w:val="single" w:color="A6A6A6" w:sz="6" w:space="0"/>
            <w:right w:val="single" w:color="A6A6A6" w:sz="6" w:space="0"/>
            <w:insideH w:val="single" w:color="A6A6A6" w:sz="6" w:space="0"/>
            <w:insideV w:val="single" w:color="A6A6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8F6ED69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b/>
                <w:color w:val="000000"/>
                <w:sz w:val="22"/>
              </w:rPr>
              <w:t>Срок оказания услуг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3FE9523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>
              <w:rPr>
                <w:rFonts w:cs="Times New Roman"/>
                <w:color w:val="000000"/>
                <w:sz w:val="22"/>
                <w:lang w:val="ru-RU"/>
              </w:rPr>
              <w:t>С даты заключения договора до 31.12.2026 г., включительно</w:t>
            </w:r>
          </w:p>
        </w:tc>
      </w:tr>
      <w:tr w14:paraId="6A665020">
        <w:tblPrEx>
          <w:tblBorders>
            <w:top w:val="single" w:color="A6A6A6" w:sz="6" w:space="0"/>
            <w:left w:val="single" w:color="A6A6A6" w:sz="6" w:space="0"/>
            <w:bottom w:val="single" w:color="A6A6A6" w:sz="6" w:space="0"/>
            <w:right w:val="single" w:color="A6A6A6" w:sz="6" w:space="0"/>
            <w:insideH w:val="single" w:color="A6A6A6" w:sz="6" w:space="0"/>
            <w:insideV w:val="single" w:color="A6A6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D1B4874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b/>
                <w:color w:val="000000"/>
                <w:sz w:val="22"/>
              </w:rPr>
              <w:t>Место оказания услуг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AB77090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>
              <w:rPr>
                <w:rFonts w:cs="Times New Roman"/>
                <w:color w:val="000000"/>
                <w:sz w:val="22"/>
                <w:highlight w:val="yellow"/>
                <w:lang w:val="ru-RU"/>
              </w:rPr>
              <w:t>[ул</w:t>
            </w:r>
            <w:r>
              <w:rPr>
                <w:rFonts w:hint="default" w:cs="Times New Roman"/>
                <w:color w:val="000000"/>
                <w:sz w:val="22"/>
                <w:highlight w:val="yellow"/>
                <w:lang w:val="ru-RU"/>
              </w:rPr>
              <w:t xml:space="preserve"> </w:t>
            </w:r>
            <w:r>
              <w:rPr>
                <w:rFonts w:hint="default" w:cs="Times New Roman"/>
                <w:color w:val="000000"/>
                <w:sz w:val="22"/>
                <w:highlight w:val="yellow"/>
                <w:lang w:val="kk-KZ"/>
              </w:rPr>
              <w:t>Жана Курылыс</w:t>
            </w:r>
            <w:bookmarkStart w:id="0" w:name="_GoBack"/>
            <w:bookmarkEnd w:id="0"/>
            <w:r>
              <w:rPr>
                <w:rFonts w:hint="default" w:cs="Times New Roman"/>
                <w:color w:val="000000"/>
                <w:sz w:val="22"/>
                <w:highlight w:val="yellow"/>
                <w:lang w:val="ru-RU"/>
              </w:rPr>
              <w:t xml:space="preserve"> д </w:t>
            </w:r>
            <w:r>
              <w:rPr>
                <w:rFonts w:hint="default" w:cs="Times New Roman"/>
                <w:color w:val="000000"/>
                <w:sz w:val="22"/>
                <w:highlight w:val="yellow"/>
                <w:lang w:val="kk-KZ"/>
              </w:rPr>
              <w:t>12</w:t>
            </w:r>
            <w:r>
              <w:rPr>
                <w:rFonts w:cs="Times New Roman"/>
                <w:color w:val="000000"/>
                <w:sz w:val="22"/>
                <w:highlight w:val="yellow"/>
                <w:lang w:val="ru-RU"/>
              </w:rPr>
              <w:t>, с</w:t>
            </w:r>
            <w:r>
              <w:rPr>
                <w:rFonts w:hint="default" w:cs="Times New Roman"/>
                <w:color w:val="000000"/>
                <w:sz w:val="22"/>
                <w:highlight w:val="yellow"/>
                <w:lang w:val="ru-RU"/>
              </w:rPr>
              <w:t xml:space="preserve"> </w:t>
            </w:r>
            <w:r>
              <w:rPr>
                <w:rFonts w:hint="default" w:cs="Times New Roman"/>
                <w:color w:val="000000"/>
                <w:sz w:val="22"/>
                <w:highlight w:val="yellow"/>
                <w:lang w:val="kk-KZ"/>
              </w:rPr>
              <w:t>Гизат Алипова</w:t>
            </w:r>
            <w:r>
              <w:rPr>
                <w:rFonts w:cs="Times New Roman"/>
                <w:color w:val="000000"/>
                <w:sz w:val="22"/>
                <w:highlight w:val="yellow"/>
                <w:lang w:val="ru-RU"/>
              </w:rPr>
              <w:t>, Курмангазы, Атырауская область]</w:t>
            </w:r>
          </w:p>
        </w:tc>
      </w:tr>
      <w:tr w14:paraId="5441158A">
        <w:tblPrEx>
          <w:tblBorders>
            <w:top w:val="single" w:color="A6A6A6" w:sz="6" w:space="0"/>
            <w:left w:val="single" w:color="A6A6A6" w:sz="6" w:space="0"/>
            <w:bottom w:val="single" w:color="A6A6A6" w:sz="6" w:space="0"/>
            <w:right w:val="single" w:color="A6A6A6" w:sz="6" w:space="0"/>
            <w:insideH w:val="single" w:color="A6A6A6" w:sz="6" w:space="0"/>
            <w:insideV w:val="single" w:color="A6A6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21CD9BA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b/>
                <w:color w:val="000000"/>
                <w:sz w:val="22"/>
              </w:rPr>
              <w:t>Авансовый платеж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7D9A94F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color w:val="000000"/>
                <w:sz w:val="22"/>
              </w:rPr>
              <w:t>0 %</w:t>
            </w:r>
          </w:p>
        </w:tc>
      </w:tr>
    </w:tbl>
    <w:p w14:paraId="5FE420CE">
      <w:pPr>
        <w:spacing w:after="0" w:line="240" w:lineRule="auto"/>
        <w:rPr>
          <w:rFonts w:cs="Times New Roman"/>
          <w:sz w:val="22"/>
        </w:rPr>
      </w:pPr>
    </w:p>
    <w:p w14:paraId="4DCB583A">
      <w:pPr>
        <w:pStyle w:val="2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>2. Исходное состояние и назначение услуги</w:t>
      </w:r>
    </w:p>
    <w:p w14:paraId="0D04774D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 xml:space="preserve">Заказчик эксплуатирует ранее приобретенный и введенный в эксплуатацию аппаратно-программный комплекс, облачную платформу </w:t>
      </w:r>
      <w:r>
        <w:rPr>
          <w:rFonts w:cs="Times New Roman"/>
          <w:color w:val="000000"/>
          <w:sz w:val="22"/>
        </w:rPr>
        <w:t>Alaqan</w:t>
      </w:r>
      <w:r>
        <w:rPr>
          <w:rFonts w:cs="Times New Roman"/>
          <w:color w:val="000000"/>
          <w:sz w:val="22"/>
          <w:lang w:val="ru-RU"/>
        </w:rPr>
        <w:t xml:space="preserve"> и модуль </w:t>
      </w:r>
      <w:r>
        <w:rPr>
          <w:rFonts w:cs="Times New Roman"/>
          <w:color w:val="000000"/>
          <w:sz w:val="22"/>
        </w:rPr>
        <w:t>Alaqan</w:t>
      </w:r>
      <w:r>
        <w:rPr>
          <w:rFonts w:cs="Times New Roman"/>
          <w:color w:val="000000"/>
          <w:sz w:val="22"/>
          <w:lang w:val="ru-RU"/>
        </w:rPr>
        <w:t xml:space="preserve"> </w:t>
      </w:r>
      <w:r>
        <w:rPr>
          <w:rFonts w:cs="Times New Roman"/>
          <w:color w:val="000000"/>
          <w:sz w:val="22"/>
        </w:rPr>
        <w:t>Mektep</w:t>
      </w:r>
      <w:r>
        <w:rPr>
          <w:rFonts w:cs="Times New Roman"/>
          <w:color w:val="000000"/>
          <w:sz w:val="22"/>
          <w:lang w:val="ru-RU"/>
        </w:rPr>
        <w:t>. Обслуживанию подлежат действующая учетная среда школы, зарегистрированное в ней оборудование, данные, настройки и разрешенные интеграционные связи.</w:t>
      </w:r>
    </w:p>
    <w:p w14:paraId="7F616A5C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Цель закупки – продлить лицензионный доступ на существующей учетной записи и обеспечить техническое сопровождение до 31 декабря 2026 года без повторной регистрации пользователей, повторной привязки оборудования и необоснованного повторного сбора персональных данных.</w:t>
      </w:r>
    </w:p>
    <w:p w14:paraId="573A3DC3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Поставка нового оборудования, переход на иную платформу, создание новой учетной среды, перенос данных в другую систему и создание новых интеграций в предмет закупки не входят. Предложение, предусматривающее замену действующей платформы, миграцию либо оказание услуг в иной учетной среде, не соответствует предмету закупки.</w:t>
      </w:r>
    </w:p>
    <w:p w14:paraId="706042DF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i/>
          <w:color w:val="000000"/>
          <w:sz w:val="22"/>
          <w:lang w:val="ru-RU"/>
        </w:rPr>
        <w:t xml:space="preserve">Наименование </w:t>
      </w:r>
      <w:r>
        <w:rPr>
          <w:rFonts w:cs="Times New Roman"/>
          <w:i/>
          <w:color w:val="000000"/>
          <w:sz w:val="22"/>
        </w:rPr>
        <w:t>Alaqan</w:t>
      </w:r>
      <w:r>
        <w:rPr>
          <w:rFonts w:cs="Times New Roman"/>
          <w:i/>
          <w:color w:val="000000"/>
          <w:sz w:val="22"/>
          <w:lang w:val="ru-RU"/>
        </w:rPr>
        <w:t xml:space="preserve"> </w:t>
      </w:r>
      <w:r>
        <w:rPr>
          <w:rFonts w:cs="Times New Roman"/>
          <w:i/>
          <w:color w:val="000000"/>
          <w:sz w:val="22"/>
        </w:rPr>
        <w:t>Mektep</w:t>
      </w:r>
      <w:r>
        <w:rPr>
          <w:rFonts w:cs="Times New Roman"/>
          <w:i/>
          <w:color w:val="000000"/>
          <w:sz w:val="22"/>
          <w:lang w:val="ru-RU"/>
        </w:rPr>
        <w:t xml:space="preserve"> указано для идентификации ранее установленного лицензируемого программного обеспечения и действующего аппаратно-программного комплекса. Такое указание применяется в соответствии с подпунктами 1) и 3) пункта 5 статьи 12 Закона Республики Казахстан «О государственных закупках»: закупка связана с установленным лицензионным программным обеспечением и техническим обслуживанием имеющегося у заказчика оборудования. Услугу вправе оказать правообладатель либо уполномоченное им лицо, способное выполнить все требования настоящей технической спецификации.</w:t>
      </w:r>
    </w:p>
    <w:p w14:paraId="7AEE3A2A">
      <w:pPr>
        <w:pStyle w:val="2"/>
        <w:spacing w:before="0" w:line="240" w:lineRule="auto"/>
        <w:rPr>
          <w:rFonts w:ascii="Times New Roman" w:hAnsi="Times New Roman" w:eastAsia="Times New Roman" w:cs="Times New Roman"/>
          <w:sz w:val="22"/>
          <w:szCs w:val="22"/>
          <w:lang w:val="ru-RU"/>
        </w:rPr>
      </w:pPr>
    </w:p>
    <w:p w14:paraId="37F24778">
      <w:pPr>
        <w:pStyle w:val="2"/>
        <w:spacing w:before="0" w:line="240" w:lineRule="auto"/>
        <w:ind w:firstLine="567"/>
        <w:rPr>
          <w:rFonts w:ascii="Times New Roman" w:hAnsi="Times New Roman" w:eastAsia="Times New Roman" w:cs="Times New Roman"/>
          <w:sz w:val="22"/>
          <w:szCs w:val="22"/>
          <w:lang w:val="ru-RU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>3. Состав комплексной услуги</w:t>
      </w:r>
    </w:p>
    <w:p w14:paraId="64AC9425">
      <w:pPr>
        <w:pStyle w:val="3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>3.1 Продление лицензионного доступа</w:t>
      </w:r>
    </w:p>
    <w:p w14:paraId="4BBC2935">
      <w:pPr>
        <w:pStyle w:val="22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возобновить и продлить доступ к действующей учетной записи школы до 31 декабря 2026 года включительно;</w:t>
      </w:r>
    </w:p>
    <w:p w14:paraId="0C85A0F6">
      <w:pPr>
        <w:pStyle w:val="22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выполнить активацию не позднее трех рабочих дней с даты заключения договора;</w:t>
      </w:r>
    </w:p>
    <w:p w14:paraId="7D7CB483">
      <w:pPr>
        <w:pStyle w:val="22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сохранить пользователей, роли и права доступа, данные, отчеты, сформированные биометрические шаблоны, настройки, журналы событий, привязки оборудования и разрешенные интеграционные связи;</w:t>
      </w:r>
    </w:p>
    <w:p w14:paraId="3425F9CE">
      <w:pPr>
        <w:pStyle w:val="22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предоставлять обновления программного обеспечения правообладателя без ухудшения действующей функциональности, совместимости и сохранности данных;</w:t>
      </w:r>
    </w:p>
    <w:p w14:paraId="2FED2330">
      <w:pPr>
        <w:pStyle w:val="22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не создавать новую учетную запись и не требовать повторной регистрации пользователей, если это не вызвано документированным поручением заказчика или требованиями законодательства.</w:t>
      </w:r>
    </w:p>
    <w:p w14:paraId="376BA9A0">
      <w:pPr>
        <w:pStyle w:val="3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>3.2 Учет бесплатного питания и интеграция с Социальным кошельком</w:t>
      </w:r>
    </w:p>
    <w:p w14:paraId="38573A04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Поставщик обеспечивает поддержку действующей интеграции с информационной системой «Социальный кошелек». Каждое подтвержденное событие получения бесплатного питания передается по действующему интеграционному каналу и сопоставляется с пользователем, организацией, оборудованием, датой, временем и результатом обработки.</w:t>
      </w:r>
    </w:p>
    <w:p w14:paraId="05596B98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В административном кабинете отображаются статусы обмена, ошибки и возможность повторной отправки в предусмотренных системой случаях, а также сведения, необходимые заказчику для контроля фактического получения питания. Замена действующей интеграции ручной выгрузкой либо передачей через не предусмотренную действующей системой стороннюю платформу не допускается.</w:t>
      </w:r>
    </w:p>
    <w:p w14:paraId="52816C47">
      <w:pPr>
        <w:pStyle w:val="3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>3.3 Административный кабинет и отчетность</w:t>
      </w:r>
    </w:p>
    <w:p w14:paraId="4A23B343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 xml:space="preserve">Заказчику предоставляется доступ к действующему административному веб-кабинету, включая профили обучающихся, классы и категории питания, сведения о получивших и не получивших питание, дату, время и терминал операции, мониторинг оборудования, поиск, фильтрацию и экспорт отчетов в форматы </w:t>
      </w:r>
      <w:r>
        <w:rPr>
          <w:rFonts w:cs="Times New Roman"/>
          <w:color w:val="000000"/>
          <w:sz w:val="22"/>
        </w:rPr>
        <w:t>Excel</w:t>
      </w:r>
      <w:r>
        <w:rPr>
          <w:rFonts w:cs="Times New Roman"/>
          <w:color w:val="000000"/>
          <w:sz w:val="22"/>
          <w:lang w:val="ru-RU"/>
        </w:rPr>
        <w:t xml:space="preserve"> и </w:t>
      </w:r>
      <w:r>
        <w:rPr>
          <w:rFonts w:cs="Times New Roman"/>
          <w:color w:val="000000"/>
          <w:sz w:val="22"/>
        </w:rPr>
        <w:t>PDF</w:t>
      </w:r>
      <w:r>
        <w:rPr>
          <w:rFonts w:cs="Times New Roman"/>
          <w:color w:val="000000"/>
          <w:sz w:val="22"/>
          <w:lang w:val="ru-RU"/>
        </w:rPr>
        <w:t>.</w:t>
      </w:r>
    </w:p>
    <w:p w14:paraId="0029AE56">
      <w:pPr>
        <w:pStyle w:val="2"/>
        <w:spacing w:before="0" w:line="240" w:lineRule="auto"/>
        <w:rPr>
          <w:rFonts w:ascii="Times New Roman" w:hAnsi="Times New Roman" w:eastAsia="Times New Roman" w:cs="Times New Roman"/>
          <w:sz w:val="22"/>
          <w:szCs w:val="22"/>
          <w:lang w:val="ru-RU"/>
        </w:rPr>
      </w:pPr>
    </w:p>
    <w:p w14:paraId="56A0F884">
      <w:pPr>
        <w:pStyle w:val="2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>4. Техническое сопровождение и уровень сервиса</w:t>
      </w:r>
    </w:p>
    <w:p w14:paraId="786ABE5C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Техническое сопровождение включает консультационную и дистанционную поддержку, регистрацию обращений, мониторинг связи, диагностику, проверку и восстановление программной конфигурации, проверку журналов обмена, настройку и устранение программных сбоев. Выезд специалиста выполняется, если неисправность невозможно локализовать или устранить дистанционно.</w:t>
      </w:r>
    </w:p>
    <w:tbl>
      <w:tblPr>
        <w:tblStyle w:val="12"/>
        <w:tblW w:w="10300" w:type="dxa"/>
        <w:jc w:val="center"/>
        <w:tblBorders>
          <w:top w:val="single" w:color="A6A6A6" w:sz="6" w:space="0"/>
          <w:left w:val="single" w:color="A6A6A6" w:sz="6" w:space="0"/>
          <w:bottom w:val="single" w:color="A6A6A6" w:sz="6" w:space="0"/>
          <w:right w:val="single" w:color="A6A6A6" w:sz="6" w:space="0"/>
          <w:insideH w:val="single" w:color="A6A6A6" w:sz="6" w:space="0"/>
          <w:insideV w:val="single" w:color="A6A6A6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42"/>
        <w:gridCol w:w="2977"/>
        <w:gridCol w:w="4781"/>
      </w:tblGrid>
      <w:tr w14:paraId="09B065D5">
        <w:tblPrEx>
          <w:tblBorders>
            <w:top w:val="single" w:color="A6A6A6" w:sz="6" w:space="0"/>
            <w:left w:val="single" w:color="A6A6A6" w:sz="6" w:space="0"/>
            <w:bottom w:val="single" w:color="A6A6A6" w:sz="6" w:space="0"/>
            <w:right w:val="single" w:color="A6A6A6" w:sz="6" w:space="0"/>
            <w:insideH w:val="single" w:color="A6A6A6" w:sz="6" w:space="0"/>
            <w:insideV w:val="single" w:color="A6A6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2542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215CA88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b/>
                <w:color w:val="000000"/>
                <w:sz w:val="22"/>
              </w:rPr>
              <w:t>Категория обращения</w:t>
            </w:r>
          </w:p>
        </w:tc>
        <w:tc>
          <w:tcPr>
            <w:tcW w:w="2977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90787AB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b/>
                <w:color w:val="000000"/>
                <w:sz w:val="22"/>
              </w:rPr>
              <w:t>Начало реакции</w:t>
            </w:r>
          </w:p>
        </w:tc>
        <w:tc>
          <w:tcPr>
            <w:tcW w:w="4781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0EC70CF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b/>
                <w:color w:val="000000"/>
                <w:sz w:val="22"/>
              </w:rPr>
              <w:t>Срок и результат</w:t>
            </w:r>
          </w:p>
        </w:tc>
      </w:tr>
      <w:tr w14:paraId="4AF15511">
        <w:tblPrEx>
          <w:tblBorders>
            <w:top w:val="single" w:color="A6A6A6" w:sz="6" w:space="0"/>
            <w:left w:val="single" w:color="A6A6A6" w:sz="6" w:space="0"/>
            <w:bottom w:val="single" w:color="A6A6A6" w:sz="6" w:space="0"/>
            <w:right w:val="single" w:color="A6A6A6" w:sz="6" w:space="0"/>
            <w:insideH w:val="single" w:color="A6A6A6" w:sz="6" w:space="0"/>
            <w:insideV w:val="single" w:color="A6A6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54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F3F4B6F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>
              <w:rPr>
                <w:rFonts w:cs="Times New Roman"/>
                <w:color w:val="000000"/>
                <w:sz w:val="22"/>
                <w:lang w:val="ru-RU"/>
              </w:rPr>
              <w:t>Полная недоступность платформы или основной функции</w:t>
            </w:r>
          </w:p>
        </w:tc>
        <w:tc>
          <w:tcPr>
            <w:tcW w:w="297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A3DC95D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color w:val="000000"/>
                <w:sz w:val="22"/>
              </w:rPr>
              <w:t>не позднее 2 рабочих часов</w:t>
            </w:r>
          </w:p>
        </w:tc>
        <w:tc>
          <w:tcPr>
            <w:tcW w:w="478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F62C376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>
              <w:rPr>
                <w:rFonts w:cs="Times New Roman"/>
                <w:color w:val="000000"/>
                <w:sz w:val="22"/>
                <w:lang w:val="ru-RU"/>
              </w:rPr>
              <w:t>план восстановления – в течение 8 рабочих часов; устранение причины в зоне ответственности поставщика – не позднее 1 рабочего дня</w:t>
            </w:r>
          </w:p>
        </w:tc>
      </w:tr>
      <w:tr w14:paraId="08CDCE13">
        <w:tblPrEx>
          <w:tblBorders>
            <w:top w:val="single" w:color="A6A6A6" w:sz="6" w:space="0"/>
            <w:left w:val="single" w:color="A6A6A6" w:sz="6" w:space="0"/>
            <w:bottom w:val="single" w:color="A6A6A6" w:sz="6" w:space="0"/>
            <w:right w:val="single" w:color="A6A6A6" w:sz="6" w:space="0"/>
            <w:insideH w:val="single" w:color="A6A6A6" w:sz="6" w:space="0"/>
            <w:insideV w:val="single" w:color="A6A6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54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75946CB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color w:val="000000"/>
                <w:sz w:val="22"/>
              </w:rPr>
              <w:t>Частичное нарушение функциональности</w:t>
            </w:r>
          </w:p>
        </w:tc>
        <w:tc>
          <w:tcPr>
            <w:tcW w:w="297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6FD9684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color w:val="000000"/>
                <w:sz w:val="22"/>
              </w:rPr>
              <w:t>не позднее 4 рабочих часов</w:t>
            </w:r>
          </w:p>
        </w:tc>
        <w:tc>
          <w:tcPr>
            <w:tcW w:w="478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9840557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>
              <w:rPr>
                <w:rFonts w:cs="Times New Roman"/>
                <w:color w:val="000000"/>
                <w:sz w:val="22"/>
                <w:lang w:val="ru-RU"/>
              </w:rPr>
              <w:t>устранение причины в зоне ответственности поставщика – в течение 3 рабочих дней</w:t>
            </w:r>
          </w:p>
        </w:tc>
      </w:tr>
      <w:tr w14:paraId="65FE35F6">
        <w:tblPrEx>
          <w:tblBorders>
            <w:top w:val="single" w:color="A6A6A6" w:sz="6" w:space="0"/>
            <w:left w:val="single" w:color="A6A6A6" w:sz="6" w:space="0"/>
            <w:bottom w:val="single" w:color="A6A6A6" w:sz="6" w:space="0"/>
            <w:right w:val="single" w:color="A6A6A6" w:sz="6" w:space="0"/>
            <w:insideH w:val="single" w:color="A6A6A6" w:sz="6" w:space="0"/>
            <w:insideV w:val="single" w:color="A6A6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54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A675EDB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color w:val="000000"/>
                <w:sz w:val="22"/>
              </w:rPr>
              <w:t>Консультационное обращение</w:t>
            </w:r>
          </w:p>
        </w:tc>
        <w:tc>
          <w:tcPr>
            <w:tcW w:w="297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AAEDAFD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color w:val="000000"/>
                <w:sz w:val="22"/>
              </w:rPr>
              <w:t>в течение 1 рабочего дня</w:t>
            </w:r>
          </w:p>
        </w:tc>
        <w:tc>
          <w:tcPr>
            <w:tcW w:w="478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113F72D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>
              <w:rPr>
                <w:rFonts w:cs="Times New Roman"/>
                <w:color w:val="000000"/>
                <w:sz w:val="22"/>
                <w:lang w:val="ru-RU"/>
              </w:rPr>
              <w:t>ответ или рекомендации по дальнейшим действиям</w:t>
            </w:r>
          </w:p>
        </w:tc>
      </w:tr>
      <w:tr w14:paraId="1D666EFB">
        <w:tblPrEx>
          <w:tblBorders>
            <w:top w:val="single" w:color="A6A6A6" w:sz="6" w:space="0"/>
            <w:left w:val="single" w:color="A6A6A6" w:sz="6" w:space="0"/>
            <w:bottom w:val="single" w:color="A6A6A6" w:sz="6" w:space="0"/>
            <w:right w:val="single" w:color="A6A6A6" w:sz="6" w:space="0"/>
            <w:insideH w:val="single" w:color="A6A6A6" w:sz="6" w:space="0"/>
            <w:insideV w:val="single" w:color="A6A6A6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54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4691C8B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color w:val="000000"/>
                <w:sz w:val="22"/>
              </w:rPr>
              <w:t>Необходимость выезда</w:t>
            </w:r>
          </w:p>
        </w:tc>
        <w:tc>
          <w:tcPr>
            <w:tcW w:w="297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F78FC34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color w:val="000000"/>
                <w:sz w:val="22"/>
              </w:rPr>
              <w:t>после дистанционной диагностики</w:t>
            </w:r>
          </w:p>
        </w:tc>
        <w:tc>
          <w:tcPr>
            <w:tcW w:w="478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F702C75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>
              <w:rPr>
                <w:rFonts w:cs="Times New Roman"/>
                <w:color w:val="000000"/>
                <w:sz w:val="22"/>
                <w:lang w:val="ru-RU"/>
              </w:rPr>
              <w:t>выезд – не позднее 3 рабочих дней после подтверждения необходимости</w:t>
            </w:r>
          </w:p>
        </w:tc>
      </w:tr>
    </w:tbl>
    <w:p w14:paraId="7DBC4AED">
      <w:pPr>
        <w:spacing w:after="0" w:line="240" w:lineRule="auto"/>
        <w:rPr>
          <w:rFonts w:cs="Times New Roman"/>
          <w:sz w:val="22"/>
          <w:lang w:val="ru-RU"/>
        </w:rPr>
      </w:pPr>
    </w:p>
    <w:p w14:paraId="3B936BB2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Поддержка предоставляется в рабочие дни с 09:00 до 18:00 по времени города Астаны. Поставщик предоставляет заказчику не менее одного регистрируемого канала приема обращений.</w:t>
      </w:r>
    </w:p>
    <w:p w14:paraId="21976069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Подтвержденное время устранения сбоя оператором связи, государственной информационной системой, инфраструктурой заказчика или иным третьим лицом не включается в сроки устранения поставщика. Поставщик проводит первичную диагностику, сообщает установленный источник сбоя и оказывает техническое содействие.</w:t>
      </w:r>
    </w:p>
    <w:p w14:paraId="475A6054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В стоимость услуги не входят запасные части, замена оборудования, ремонт механических повреждений, прокладка кабелей, восстановление электропитания и локальной сети, услуги связи и создание новых интеграций. Такие работы и расходы выполняются только по отдельному законному основанию.</w:t>
      </w:r>
    </w:p>
    <w:p w14:paraId="7A8FE586">
      <w:pPr>
        <w:pStyle w:val="2"/>
        <w:spacing w:before="0" w:line="240" w:lineRule="auto"/>
        <w:rPr>
          <w:rFonts w:ascii="Times New Roman" w:hAnsi="Times New Roman" w:eastAsia="Times New Roman" w:cs="Times New Roman"/>
          <w:sz w:val="22"/>
          <w:szCs w:val="22"/>
          <w:lang w:val="ru-RU"/>
        </w:rPr>
      </w:pPr>
    </w:p>
    <w:p w14:paraId="712E5B97">
      <w:pPr>
        <w:pStyle w:val="2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>5. Права на программное обеспечение и документы исполнения</w:t>
      </w:r>
    </w:p>
    <w:p w14:paraId="1A7CB15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Подавая ценовое предложение, потенциальный поставщик подтверждает, что может исполнить все требования настоящей технической спецификации в пределах предложенной цены и установленного срока. Победитель закупки до начала оказания услуг подтверждает наличие правовой и технической возможности продлить доступ и сопровождать именно действующую учетную среду заказчика.</w:t>
      </w:r>
    </w:p>
    <w:p w14:paraId="3CABDEEC">
      <w:pPr>
        <w:pStyle w:val="22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 xml:space="preserve">Если поставщик является правообладателем, он предоставляет документ, позволяющий проверить его права на программное обеспечение </w:t>
      </w:r>
      <w:r>
        <w:rPr>
          <w:rFonts w:cs="Times New Roman"/>
          <w:color w:val="000000"/>
          <w:sz w:val="22"/>
        </w:rPr>
        <w:t>Alaqan</w:t>
      </w:r>
      <w:r>
        <w:rPr>
          <w:rFonts w:cs="Times New Roman"/>
          <w:color w:val="000000"/>
          <w:sz w:val="22"/>
          <w:lang w:val="ru-RU"/>
        </w:rPr>
        <w:t>. Если поставщик не является правообладателем, он предоставляет письмо или иной проверяемый документ правообладателя с полномочиями на продление лицензионного доступа, предоставление обновлений, техническое сопровождение действующей учетной записи, оборудования и интеграции с ИС «Социальный кошелек» на срок не менее срока действия договора. Документ должен содержать наименование и БИН уполномоченного поставщика, перечень предоставленных полномочий, дату выдачи и срок действия; заказчик вправе проверить его по официальным контактам правообладателя.</w:t>
      </w:r>
    </w:p>
    <w:p w14:paraId="2893E3CB">
      <w:pPr>
        <w:pStyle w:val="22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r>
        <w:rPr>
          <w:rFonts w:cs="Times New Roman"/>
          <w:color w:val="000000"/>
          <w:sz w:val="22"/>
          <w:lang w:val="ru-RU"/>
        </w:rPr>
        <w:t xml:space="preserve">Программный продукт должен соответствовать действующей записи № 659 в Реестре доверенного программного обеспечения и продукции электронной промышленности. </w:t>
      </w:r>
      <w:r>
        <w:rPr>
          <w:rFonts w:cs="Times New Roman"/>
          <w:color w:val="000000"/>
          <w:sz w:val="22"/>
        </w:rPr>
        <w:t>Поставщик предоставляет актуальные проверяемые сведения о такой записи.</w:t>
      </w:r>
    </w:p>
    <w:p w14:paraId="4C96B757">
      <w:pPr>
        <w:pStyle w:val="22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Информационная безопасность используемой версии подтверждается действующими положительными протоколами анализа исходного кода, испытаний функций информационной безопасности, нагрузочного испытания, обследования процессов обеспечения информационной безопасности и сетевой инфраструктуры.</w:t>
      </w:r>
    </w:p>
    <w:p w14:paraId="4D046137">
      <w:pPr>
        <w:pStyle w:val="22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 xml:space="preserve">К исполнению привлекается не менее одного специалиста, полномочия которого на установку, настройку и техническое сопровождение программного обеспечения </w:t>
      </w:r>
      <w:r>
        <w:rPr>
          <w:rFonts w:cs="Times New Roman"/>
          <w:color w:val="000000"/>
          <w:sz w:val="22"/>
        </w:rPr>
        <w:t>Alaqan</w:t>
      </w:r>
      <w:r>
        <w:rPr>
          <w:rFonts w:cs="Times New Roman"/>
          <w:color w:val="000000"/>
          <w:sz w:val="22"/>
          <w:lang w:val="ru-RU"/>
        </w:rPr>
        <w:t xml:space="preserve"> подтверждены разработчиком или правообладателем.</w:t>
      </w:r>
    </w:p>
    <w:p w14:paraId="3C12684D">
      <w:pPr>
        <w:pStyle w:val="22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Указанные документы предоставляются заказчику в электронной форме не позднее одного рабочего дня с даты заключения договора и до активации доступа. Они являются документами исполнения договора и не устанавливаются в качестве отдельного квалификационного требования при подаче ценового предложения.</w:t>
      </w:r>
    </w:p>
    <w:p w14:paraId="29382C57">
      <w:pPr>
        <w:pStyle w:val="22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r>
        <w:rPr>
          <w:rFonts w:cs="Times New Roman"/>
          <w:color w:val="000000"/>
          <w:sz w:val="22"/>
          <w:lang w:val="ru-RU"/>
        </w:rPr>
        <w:t xml:space="preserve">При непредставлении документов, невозможности проверить их достоверность либо отсутствии необходимых полномочий заказчик применяет меры, предусмотренные договором и законодательством Республики Казахстан. </w:t>
      </w:r>
      <w:r>
        <w:rPr>
          <w:rFonts w:cs="Times New Roman"/>
          <w:color w:val="000000"/>
          <w:sz w:val="22"/>
        </w:rPr>
        <w:t>Поставщик несет ответственность за достоверность представленных сведений.</w:t>
      </w:r>
    </w:p>
    <w:p w14:paraId="3365DD86">
      <w:pPr>
        <w:pStyle w:val="2"/>
        <w:spacing w:before="0" w:line="240" w:lineRule="auto"/>
        <w:ind w:firstLine="425"/>
        <w:rPr>
          <w:rFonts w:ascii="Times New Roman" w:hAnsi="Times New Roman" w:eastAsia="Times New Roman" w:cs="Times New Roman"/>
          <w:sz w:val="22"/>
          <w:szCs w:val="22"/>
          <w:lang w:val="ru-RU"/>
        </w:rPr>
      </w:pPr>
    </w:p>
    <w:p w14:paraId="6B09BB54">
      <w:pPr>
        <w:pStyle w:val="2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>6. Персональные данные и информационная безопасность</w:t>
      </w:r>
    </w:p>
    <w:p w14:paraId="6F64686B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Заказчик является собственником базы персональных данных и определяет цели и объем обработки. Поставщик обрабатывает данные посредством платформы как оператор исключительно в пределах договора, документированных поручений заказчика, действующих согласий субъектов либо иных законных оснований. Использование данных для рекламы, самостоятельного профилирования или передачи третьим лицам, не связанным с исполнением договора, не допускается.</w:t>
      </w:r>
    </w:p>
    <w:p w14:paraId="7A06C814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Электронные ресурсы, содержащие персональные данные, и их резервные копии размещаются на территории Республики Казахстан. Передача данных выполняется по защищенному соединению; применяются ролевое разграничение доступа, принцип минимальных полномочий, журналирование, резервное копирование, контроль целостности и обновления безопасности.</w:t>
      </w:r>
    </w:p>
    <w:p w14:paraId="7136A72A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Доступ работников поставщика к учетной среде допускается только в объеме, необходимом для зарегистрированного обращения или согласованной работы. Действия с привилегированным доступом журналируются. Об инциденте, затрагивающем данные заказчика, поставщик уведомляет не позднее одного рабочего дня с момента выявления.</w:t>
      </w:r>
    </w:p>
    <w:p w14:paraId="58B7F8DB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В действующей системе используются сформированные биометрические шаблоны без хранения исходных изображений ладони. Продление лицензионного доступа не должно влечь повторный сбор биометрических данных или изменение установленного заказчиком режима их законной обработки.</w:t>
      </w:r>
    </w:p>
    <w:p w14:paraId="24D2DA7A">
      <w:pPr>
        <w:pStyle w:val="2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>7. Обязанности заказчика и порядок приемки</w:t>
      </w:r>
    </w:p>
    <w:p w14:paraId="481449E5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Заказчик обеспечивает исправное электропитание, доступ в интернет, физический доступ к обслуживаемому оборудованию в согласованное время и участие уполномоченного работника в контрольной проверке.</w:t>
      </w:r>
    </w:p>
    <w:p w14:paraId="4D63AC49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До подписания электронного акта стороны проводят контрольную проверку. Поставщик предъявляет документы, предусмотренные разделом 5, и демонстрирует выполнение следующих требований:</w:t>
      </w:r>
    </w:p>
    <w:p w14:paraId="03D53B0C">
      <w:pPr>
        <w:pStyle w:val="22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в действующей учетной записи указан срок доступа до 31 декабря 2026 года включительно;</w:t>
      </w:r>
    </w:p>
    <w:p w14:paraId="2646FCA0">
      <w:pPr>
        <w:pStyle w:val="22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сохранены пользователи, роли, данные, настройки, журналы событий и привязки действующего оборудования;</w:t>
      </w:r>
    </w:p>
    <w:p w14:paraId="0C56419F">
      <w:pPr>
        <w:pStyle w:val="22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доступны административный кабинет, предусмотренная отчетность и экспорт данных;</w:t>
      </w:r>
    </w:p>
    <w:p w14:paraId="64202CC7">
      <w:pPr>
        <w:pStyle w:val="22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контрольное событие бесплатного питания отображается в системе и передается по действующей интеграции с ИС «Социальный кошелек»;</w:t>
      </w:r>
    </w:p>
    <w:p w14:paraId="4162BB17">
      <w:pPr>
        <w:pStyle w:val="22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действует канал регистрации обращений, а поставщик принял обязательства по уровню сервиса, установленному разделом 4.</w:t>
      </w:r>
    </w:p>
    <w:p w14:paraId="03B0314F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Замена платформы, создание новой учетной среды, потеря ранее накопленных данных, повторная регистрация пользователей либо отсутствие действующей интеграции не признаются надлежащим исполнением.</w:t>
      </w:r>
    </w:p>
    <w:p w14:paraId="19604FE9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>Выявленные несоответствия устраняются до подписания акта. По итогам оказания комплексной услуги оформляется один электронный акт. Подписание акта не освобождает поставщика от обязанности обеспечивать лицензионный доступ, обновления и техническое сопровождение до 31 декабря 2026 года включительно.</w:t>
      </w:r>
    </w:p>
    <w:p w14:paraId="6F6C7626">
      <w:pPr>
        <w:pStyle w:val="2"/>
        <w:spacing w:before="0" w:line="240" w:lineRule="auto"/>
        <w:ind w:firstLine="567"/>
        <w:rPr>
          <w:rFonts w:ascii="Times New Roman" w:hAnsi="Times New Roman" w:eastAsia="Times New Roman" w:cs="Times New Roman"/>
          <w:sz w:val="22"/>
          <w:szCs w:val="22"/>
          <w:lang w:val="ru-RU"/>
        </w:rPr>
      </w:pPr>
    </w:p>
    <w:p w14:paraId="1EE65791">
      <w:pPr>
        <w:pStyle w:val="2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eastAsia="Times New Roman" w:cs="Times New Roman"/>
          <w:sz w:val="22"/>
          <w:szCs w:val="22"/>
          <w:lang w:val="ru-RU"/>
        </w:rPr>
        <w:t>8. Итоговый результат</w:t>
      </w:r>
    </w:p>
    <w:p w14:paraId="05BA18D1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>
        <w:rPr>
          <w:rFonts w:cs="Times New Roman"/>
          <w:color w:val="000000"/>
          <w:sz w:val="22"/>
          <w:lang w:val="ru-RU"/>
        </w:rPr>
        <w:t xml:space="preserve">Результатом является возобновленная и непрерывная работа заказчика в ранее созданной среде </w:t>
      </w:r>
      <w:r>
        <w:rPr>
          <w:rFonts w:cs="Times New Roman"/>
          <w:color w:val="000000"/>
          <w:sz w:val="22"/>
        </w:rPr>
        <w:t>Alaqan</w:t>
      </w:r>
      <w:r>
        <w:rPr>
          <w:rFonts w:cs="Times New Roman"/>
          <w:color w:val="000000"/>
          <w:sz w:val="22"/>
          <w:lang w:val="ru-RU"/>
        </w:rPr>
        <w:t xml:space="preserve"> </w:t>
      </w:r>
      <w:r>
        <w:rPr>
          <w:rFonts w:cs="Times New Roman"/>
          <w:color w:val="000000"/>
          <w:sz w:val="22"/>
        </w:rPr>
        <w:t>Mektep</w:t>
      </w:r>
      <w:r>
        <w:rPr>
          <w:rFonts w:cs="Times New Roman"/>
          <w:color w:val="000000"/>
          <w:sz w:val="22"/>
          <w:lang w:val="ru-RU"/>
        </w:rPr>
        <w:t xml:space="preserve"> без миграции и повторной регистрации, действующий лицензионный доступ до 31 декабря 2026 года, сохранность данных и настроек, работоспособность действующего оборудования, административного кабинета, отчетности и интеграции с ИС «Социальный кошелек», а также техническое сопровождение действующего АПК до окончания срока договора.</w:t>
      </w:r>
    </w:p>
    <w:sectPr>
      <w:footerReference r:id="rId5" w:type="default"/>
      <w:pgSz w:w="11906" w:h="16838"/>
      <w:pgMar w:top="964" w:right="1020" w:bottom="850" w:left="1134" w:header="397" w:footer="454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70309020205020404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55927D">
    <w:pPr>
      <w:pStyle w:val="26"/>
      <w:jc w:val="center"/>
    </w:pPr>
    <w:r>
      <w:rPr>
        <w:color w:val="000000"/>
        <w:sz w:val="18"/>
      </w:rPr>
      <w:fldChar w:fldCharType="begin"/>
    </w:r>
    <w:r>
      <w:rPr>
        <w:color w:val="000000"/>
        <w:sz w:val="18"/>
      </w:rPr>
      <w:instrText xml:space="preserve"> PAGE </w:instrText>
    </w:r>
    <w:r>
      <w:rPr>
        <w:color w:val="000000"/>
        <w:sz w:val="18"/>
      </w:rPr>
      <w:fldChar w:fldCharType="separate"/>
    </w:r>
    <w:r>
      <w:rPr>
        <w:color w:val="000000"/>
        <w:sz w:val="18"/>
      </w:rPr>
      <w:t>1</w:t>
    </w:r>
    <w:r>
      <w:rPr>
        <w:color w:val="000000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18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28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24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7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22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76A1E"/>
    <w:rsid w:val="0015074B"/>
    <w:rsid w:val="0029639D"/>
    <w:rsid w:val="002D306C"/>
    <w:rsid w:val="00326F90"/>
    <w:rsid w:val="00340DAE"/>
    <w:rsid w:val="004B239B"/>
    <w:rsid w:val="00AA1D8D"/>
    <w:rsid w:val="00B47730"/>
    <w:rsid w:val="00C72568"/>
    <w:rsid w:val="00CB0664"/>
    <w:rsid w:val="00D1356B"/>
    <w:rsid w:val="00FC693F"/>
    <w:rsid w:val="0D076396"/>
    <w:rsid w:val="41BB3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Times New Roman" w:cstheme="minorBidi"/>
      <w:sz w:val="23"/>
      <w:szCs w:val="22"/>
      <w:lang w:val="en-US" w:eastAsia="en-US" w:bidi="ar-SA"/>
    </w:rPr>
  </w:style>
  <w:style w:type="paragraph" w:styleId="2">
    <w:name w:val="heading 1"/>
    <w:basedOn w:val="1"/>
    <w:next w:val="1"/>
    <w:link w:val="40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000000"/>
      <w:sz w:val="28"/>
      <w:szCs w:val="28"/>
    </w:rPr>
  </w:style>
  <w:style w:type="paragraph" w:styleId="3">
    <w:name w:val="heading 2"/>
    <w:basedOn w:val="1"/>
    <w:next w:val="1"/>
    <w:link w:val="41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000000"/>
      <w:sz w:val="26"/>
      <w:szCs w:val="26"/>
    </w:rPr>
  </w:style>
  <w:style w:type="paragraph" w:styleId="4">
    <w:name w:val="heading 3"/>
    <w:basedOn w:val="1"/>
    <w:next w:val="1"/>
    <w:link w:val="42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52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53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7">
    <w:name w:val="heading 6"/>
    <w:basedOn w:val="1"/>
    <w:next w:val="1"/>
    <w:link w:val="54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8">
    <w:name w:val="heading 7"/>
    <w:basedOn w:val="1"/>
    <w:next w:val="1"/>
    <w:link w:val="55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9">
    <w:name w:val="heading 8"/>
    <w:basedOn w:val="1"/>
    <w:next w:val="1"/>
    <w:link w:val="56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0">
    <w:name w:val="heading 9"/>
    <w:basedOn w:val="1"/>
    <w:next w:val="1"/>
    <w:link w:val="57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mphasis"/>
    <w:basedOn w:val="11"/>
    <w:qFormat/>
    <w:uiPriority w:val="20"/>
    <w:rPr>
      <w:i/>
      <w:iCs/>
    </w:rPr>
  </w:style>
  <w:style w:type="character" w:styleId="14">
    <w:name w:val="Strong"/>
    <w:basedOn w:val="11"/>
    <w:qFormat/>
    <w:uiPriority w:val="22"/>
    <w:rPr>
      <w:b/>
      <w:bCs/>
    </w:rPr>
  </w:style>
  <w:style w:type="paragraph" w:styleId="15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16">
    <w:name w:val="Body Text 2"/>
    <w:basedOn w:val="1"/>
    <w:link w:val="47"/>
    <w:unhideWhenUsed/>
    <w:qFormat/>
    <w:uiPriority w:val="99"/>
    <w:pPr>
      <w:spacing w:after="120" w:line="480" w:lineRule="auto"/>
    </w:pPr>
  </w:style>
  <w:style w:type="paragraph" w:styleId="17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8">
    <w:name w:val="List Number 3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19">
    <w:name w:val="header"/>
    <w:basedOn w:val="1"/>
    <w:link w:val="37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0">
    <w:name w:val="Body Text"/>
    <w:basedOn w:val="1"/>
    <w:link w:val="46"/>
    <w:unhideWhenUsed/>
    <w:uiPriority w:val="99"/>
    <w:pPr>
      <w:spacing w:after="120"/>
    </w:pPr>
  </w:style>
  <w:style w:type="paragraph" w:styleId="21">
    <w:name w:val="macro"/>
    <w:link w:val="49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22">
    <w:name w:val="List Bullet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23">
    <w:name w:val="List Bullet 2"/>
    <w:basedOn w:val="1"/>
    <w:unhideWhenUsed/>
    <w:uiPriority w:val="99"/>
    <w:pPr>
      <w:numPr>
        <w:ilvl w:val="0"/>
        <w:numId w:val="3"/>
      </w:numPr>
      <w:contextualSpacing/>
    </w:pPr>
  </w:style>
  <w:style w:type="paragraph" w:styleId="24">
    <w:name w:val="List Bullet 3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25">
    <w:name w:val="Title"/>
    <w:basedOn w:val="1"/>
    <w:next w:val="1"/>
    <w:link w:val="43"/>
    <w:qFormat/>
    <w:uiPriority w:val="10"/>
    <w:pPr>
      <w:spacing w:after="300" w:line="240" w:lineRule="auto"/>
      <w:contextualSpacing/>
    </w:pPr>
    <w:rPr>
      <w:rFonts w:asciiTheme="majorHAnsi" w:hAnsiTheme="majorHAnsi" w:eastAsiaTheme="majorEastAsia" w:cstheme="majorBidi"/>
      <w:b/>
      <w:color w:val="000000"/>
      <w:spacing w:val="5"/>
      <w:kern w:val="28"/>
      <w:sz w:val="26"/>
      <w:szCs w:val="52"/>
    </w:rPr>
  </w:style>
  <w:style w:type="paragraph" w:styleId="26">
    <w:name w:val="footer"/>
    <w:basedOn w:val="1"/>
    <w:link w:val="38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7">
    <w:name w:val="List Number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8">
    <w:name w:val="List Number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9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30">
    <w:name w:val="Body Text 3"/>
    <w:basedOn w:val="1"/>
    <w:link w:val="48"/>
    <w:unhideWhenUsed/>
    <w:uiPriority w:val="99"/>
    <w:pPr>
      <w:spacing w:after="120"/>
    </w:pPr>
    <w:rPr>
      <w:sz w:val="16"/>
      <w:szCs w:val="16"/>
    </w:rPr>
  </w:style>
  <w:style w:type="paragraph" w:styleId="31">
    <w:name w:val="Subtitle"/>
    <w:basedOn w:val="1"/>
    <w:next w:val="1"/>
    <w:link w:val="44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32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3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4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35">
    <w:name w:val="List 3"/>
    <w:basedOn w:val="1"/>
    <w:unhideWhenUsed/>
    <w:qFormat/>
    <w:uiPriority w:val="99"/>
    <w:pPr>
      <w:ind w:left="1080" w:hanging="360"/>
      <w:contextualSpacing/>
    </w:pPr>
  </w:style>
  <w:style w:type="table" w:styleId="36">
    <w:name w:val="Table Grid"/>
    <w:basedOn w:val="1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37">
    <w:name w:val="Верхний колонтитул Знак"/>
    <w:basedOn w:val="11"/>
    <w:link w:val="19"/>
    <w:qFormat/>
    <w:uiPriority w:val="99"/>
  </w:style>
  <w:style w:type="character" w:customStyle="1" w:styleId="38">
    <w:name w:val="Нижний колонтитул Знак"/>
    <w:basedOn w:val="11"/>
    <w:link w:val="26"/>
    <w:qFormat/>
    <w:uiPriority w:val="99"/>
  </w:style>
  <w:style w:type="paragraph" w:styleId="39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40">
    <w:name w:val="Заголовок 1 Знак"/>
    <w:basedOn w:val="11"/>
    <w:link w:val="2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41">
    <w:name w:val="Заголовок 2 Знак"/>
    <w:basedOn w:val="11"/>
    <w:link w:val="3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42">
    <w:name w:val="Заголовок 3 Знак"/>
    <w:basedOn w:val="11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43">
    <w:name w:val="Заголовок Знак"/>
    <w:basedOn w:val="11"/>
    <w:link w:val="25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44">
    <w:name w:val="Подзаголовок Знак"/>
    <w:basedOn w:val="11"/>
    <w:link w:val="31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45">
    <w:name w:val="List Paragraph"/>
    <w:basedOn w:val="1"/>
    <w:qFormat/>
    <w:uiPriority w:val="34"/>
    <w:pPr>
      <w:ind w:left="720"/>
      <w:contextualSpacing/>
    </w:pPr>
  </w:style>
  <w:style w:type="character" w:customStyle="1" w:styleId="46">
    <w:name w:val="Основной текст Знак"/>
    <w:basedOn w:val="11"/>
    <w:link w:val="20"/>
    <w:uiPriority w:val="99"/>
  </w:style>
  <w:style w:type="character" w:customStyle="1" w:styleId="47">
    <w:name w:val="Основной текст 2 Знак"/>
    <w:basedOn w:val="11"/>
    <w:link w:val="16"/>
    <w:qFormat/>
    <w:uiPriority w:val="99"/>
  </w:style>
  <w:style w:type="character" w:customStyle="1" w:styleId="48">
    <w:name w:val="Основной текст 3 Знак"/>
    <w:basedOn w:val="11"/>
    <w:link w:val="30"/>
    <w:uiPriority w:val="99"/>
    <w:rPr>
      <w:sz w:val="16"/>
      <w:szCs w:val="16"/>
    </w:rPr>
  </w:style>
  <w:style w:type="character" w:customStyle="1" w:styleId="49">
    <w:name w:val="Текст макроса Знак"/>
    <w:basedOn w:val="11"/>
    <w:link w:val="21"/>
    <w:qFormat/>
    <w:uiPriority w:val="99"/>
    <w:rPr>
      <w:rFonts w:ascii="Courier" w:hAnsi="Courier"/>
      <w:sz w:val="20"/>
      <w:szCs w:val="20"/>
    </w:rPr>
  </w:style>
  <w:style w:type="paragraph" w:styleId="50">
    <w:name w:val="Quote"/>
    <w:basedOn w:val="1"/>
    <w:next w:val="1"/>
    <w:link w:val="51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51">
    <w:name w:val="Цитата 2 Знак"/>
    <w:basedOn w:val="11"/>
    <w:link w:val="50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52">
    <w:name w:val="Заголовок 4 Знак"/>
    <w:basedOn w:val="11"/>
    <w:link w:val="5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53">
    <w:name w:val="Заголовок 5 Знак"/>
    <w:basedOn w:val="11"/>
    <w:link w:val="6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54">
    <w:name w:val="Заголовок 6 Знак"/>
    <w:basedOn w:val="11"/>
    <w:link w:val="7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55">
    <w:name w:val="Заголовок 7 Знак"/>
    <w:basedOn w:val="11"/>
    <w:link w:val="8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56">
    <w:name w:val="Заголовок 8 Знак"/>
    <w:basedOn w:val="11"/>
    <w:link w:val="9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57">
    <w:name w:val="Заголовок 9 Знак"/>
    <w:basedOn w:val="11"/>
    <w:link w:val="10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58">
    <w:name w:val="Intense Quote"/>
    <w:basedOn w:val="1"/>
    <w:next w:val="1"/>
    <w:link w:val="59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59">
    <w:name w:val="Выделенная цитата Знак"/>
    <w:basedOn w:val="11"/>
    <w:link w:val="58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0">
    <w:name w:val="Subtle Emphasis"/>
    <w:basedOn w:val="11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61">
    <w:name w:val="Intense Emphasis"/>
    <w:basedOn w:val="11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2">
    <w:name w:val="Subtle Reference"/>
    <w:basedOn w:val="11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63">
    <w:name w:val="Intense Reference"/>
    <w:basedOn w:val="11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64">
    <w:name w:val="Book Title"/>
    <w:basedOn w:val="11"/>
    <w:qFormat/>
    <w:uiPriority w:val="33"/>
    <w:rPr>
      <w:b/>
      <w:bCs/>
      <w:smallCaps/>
      <w:spacing w:val="5"/>
    </w:rPr>
  </w:style>
  <w:style w:type="paragraph" w:customStyle="1" w:styleId="65">
    <w:name w:val="TOC Heading"/>
    <w:basedOn w:val="2"/>
    <w:next w:val="1"/>
    <w:semiHidden/>
    <w:unhideWhenUsed/>
    <w:qFormat/>
    <w:uiPriority w:val="39"/>
    <w:pPr>
      <w:outlineLvl w:val="9"/>
    </w:pPr>
  </w:style>
  <w:style w:type="table" w:styleId="66">
    <w:name w:val="Light Shading"/>
    <w:basedOn w:val="1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67">
    <w:name w:val="Light Shading Accent 1"/>
    <w:basedOn w:val="1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68">
    <w:name w:val="Light Shading Accent 2"/>
    <w:basedOn w:val="1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69">
    <w:name w:val="Light Shading Accent 3"/>
    <w:basedOn w:val="1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70">
    <w:name w:val="Light Shading Accent 4"/>
    <w:basedOn w:val="1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71">
    <w:name w:val="Light Shading Accent 5"/>
    <w:basedOn w:val="1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72">
    <w:name w:val="Light Shading Accent 6"/>
    <w:basedOn w:val="1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73">
    <w:name w:val="Light List"/>
    <w:basedOn w:val="1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74">
    <w:name w:val="Light List Accent 1"/>
    <w:basedOn w:val="1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75">
    <w:name w:val="Light List Accent 2"/>
    <w:basedOn w:val="1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76">
    <w:name w:val="Light List Accent 3"/>
    <w:basedOn w:val="1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77">
    <w:name w:val="Light List Accent 4"/>
    <w:basedOn w:val="1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78">
    <w:name w:val="Light List Accent 5"/>
    <w:basedOn w:val="1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79">
    <w:name w:val="Light List Accent 6"/>
    <w:basedOn w:val="1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80">
    <w:name w:val="Light Grid"/>
    <w:basedOn w:val="1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81">
    <w:name w:val="Light Grid Accent 1"/>
    <w:basedOn w:val="1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82">
    <w:name w:val="Light Grid Accent 2"/>
    <w:basedOn w:val="1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83">
    <w:name w:val="Light Grid Accent 3"/>
    <w:basedOn w:val="1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84">
    <w:name w:val="Light Grid Accent 4"/>
    <w:basedOn w:val="1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85">
    <w:name w:val="Light Grid Accent 5"/>
    <w:basedOn w:val="1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86">
    <w:name w:val="Light Grid Accent 6"/>
    <w:basedOn w:val="1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87">
    <w:name w:val="Medium Shading 1"/>
    <w:basedOn w:val="1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BFBFBF" w:themeFill="text1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88">
    <w:name w:val="Medium Shading 1 Accent 1"/>
    <w:basedOn w:val="1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3DFEE" w:themeFill="accent1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89">
    <w:name w:val="Medium Shading 1 Accent 2"/>
    <w:basedOn w:val="1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FD3D3" w:themeFill="accent2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0">
    <w:name w:val="Medium Shading 1 Accent 3"/>
    <w:basedOn w:val="1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6EED5" w:themeFill="accent3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1">
    <w:name w:val="Medium Shading 1 Accent 4"/>
    <w:basedOn w:val="1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FD8E8" w:themeFill="accent4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2">
    <w:name w:val="Medium Shading 1 Accent 5"/>
    <w:basedOn w:val="1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2EAF0" w:themeFill="accent5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3">
    <w:name w:val="Medium Shading 1 Accent 6"/>
    <w:basedOn w:val="1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DE5D1" w:themeFill="accent6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4">
    <w:name w:val="Medium Shading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5">
    <w:name w:val="Medium Shading 2 Accent 1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6">
    <w:name w:val="Medium Shading 2 Accent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7">
    <w:name w:val="Medium Shading 2 Accent 3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8">
    <w:name w:val="Medium Shading 2 Accent 4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9">
    <w:name w:val="Medium Shading 2 Accent 5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00">
    <w:name w:val="Medium Shading 2 Accent 6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01">
    <w:name w:val="Medium List 1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cPr>
        <w:shd w:val="clear" w:color="auto" w:fill="BFBFBF" w:themeFill="text1" w:themeFillTint="3F"/>
      </w:tcPr>
    </w:tblStylePr>
    <w:tblStylePr w:type="band1Horz">
      <w:tcPr>
        <w:shd w:val="clear" w:color="auto" w:fill="BFBFBF" w:themeFill="text1" w:themeFillTint="3F"/>
      </w:tcPr>
    </w:tblStylePr>
  </w:style>
  <w:style w:type="table" w:styleId="102">
    <w:name w:val="Medium List 1 Accent 1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cPr>
        <w:shd w:val="clear" w:color="auto" w:fill="D3DFEE" w:themeFill="accent1" w:themeFillTint="3F"/>
      </w:tcPr>
    </w:tblStylePr>
    <w:tblStylePr w:type="band1Horz">
      <w:tcPr>
        <w:shd w:val="clear" w:color="auto" w:fill="D3DFEE" w:themeFill="accent1" w:themeFillTint="3F"/>
      </w:tcPr>
    </w:tblStylePr>
  </w:style>
  <w:style w:type="table" w:styleId="103">
    <w:name w:val="Medium List 1 Accent 2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cPr>
        <w:shd w:val="clear" w:color="auto" w:fill="EFD3D3" w:themeFill="accent2" w:themeFillTint="3F"/>
      </w:tcPr>
    </w:tblStylePr>
    <w:tblStylePr w:type="band1Horz">
      <w:tcPr>
        <w:shd w:val="clear" w:color="auto" w:fill="EFD3D3" w:themeFill="accent2" w:themeFillTint="3F"/>
      </w:tcPr>
    </w:tblStylePr>
  </w:style>
  <w:style w:type="table" w:styleId="104">
    <w:name w:val="Medium List 1 Accent 3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cPr>
        <w:shd w:val="clear" w:color="auto" w:fill="E6EED5" w:themeFill="accent3" w:themeFillTint="3F"/>
      </w:tcPr>
    </w:tblStylePr>
    <w:tblStylePr w:type="band1Horz">
      <w:tcPr>
        <w:shd w:val="clear" w:color="auto" w:fill="E6EED5" w:themeFill="accent3" w:themeFillTint="3F"/>
      </w:tcPr>
    </w:tblStylePr>
  </w:style>
  <w:style w:type="table" w:styleId="105">
    <w:name w:val="Medium List 1 Accent 4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cPr>
        <w:shd w:val="clear" w:color="auto" w:fill="DFD8E8" w:themeFill="accent4" w:themeFillTint="3F"/>
      </w:tcPr>
    </w:tblStylePr>
    <w:tblStylePr w:type="band1Horz">
      <w:tcPr>
        <w:shd w:val="clear" w:color="auto" w:fill="DFD8E8" w:themeFill="accent4" w:themeFillTint="3F"/>
      </w:tcPr>
    </w:tblStylePr>
  </w:style>
  <w:style w:type="table" w:styleId="106">
    <w:name w:val="Medium List 1 Accent 5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cPr>
        <w:shd w:val="clear" w:color="auto" w:fill="D2EAF0" w:themeFill="accent5" w:themeFillTint="3F"/>
      </w:tcPr>
    </w:tblStylePr>
    <w:tblStylePr w:type="band1Horz">
      <w:tcPr>
        <w:shd w:val="clear" w:color="auto" w:fill="D2EAF0" w:themeFill="accent5" w:themeFillTint="3F"/>
      </w:tcPr>
    </w:tblStylePr>
  </w:style>
  <w:style w:type="table" w:styleId="107">
    <w:name w:val="Medium List 1 Accent 6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cPr>
        <w:shd w:val="clear" w:color="auto" w:fill="FDE5D1" w:themeFill="accent6" w:themeFillTint="3F"/>
      </w:tcPr>
    </w:tblStylePr>
    <w:tblStylePr w:type="band1Horz">
      <w:tcPr>
        <w:shd w:val="clear" w:color="auto" w:fill="FDE5D1" w:themeFill="accent6" w:themeFillTint="3F"/>
      </w:tcPr>
    </w:tblStylePr>
  </w:style>
  <w:style w:type="table" w:styleId="108">
    <w:name w:val="Medium Lis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09">
    <w:name w:val="Medium List 2 Accent 1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0">
    <w:name w:val="Medium List 2 Accen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1">
    <w:name w:val="Medium List 2 Accent 3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2">
    <w:name w:val="Medium List 2 Accent 4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3">
    <w:name w:val="Medium List 2 Accent 5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4">
    <w:name w:val="Medium List 2 Accent 6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5">
    <w:name w:val="Medium Grid 1"/>
    <w:basedOn w:val="1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shd w:val="clear" w:color="auto" w:fill="7F7F7F" w:themeFill="text1" w:themeFillTint="7F"/>
      </w:tcPr>
    </w:tblStylePr>
  </w:style>
  <w:style w:type="table" w:styleId="116">
    <w:name w:val="Medium Grid 1 Accent 1"/>
    <w:basedOn w:val="1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shd w:val="clear" w:color="auto" w:fill="A7C0DE" w:themeFill="accent1" w:themeFillTint="7F"/>
      </w:tcPr>
    </w:tblStylePr>
  </w:style>
  <w:style w:type="table" w:styleId="117">
    <w:name w:val="Medium Grid 1 Accent 2"/>
    <w:basedOn w:val="1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shd w:val="clear" w:color="auto" w:fill="DFA7A6" w:themeFill="accent2" w:themeFillTint="7F"/>
      </w:tcPr>
    </w:tblStylePr>
  </w:style>
  <w:style w:type="table" w:styleId="118">
    <w:name w:val="Medium Grid 1 Accent 3"/>
    <w:basedOn w:val="1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19">
    <w:name w:val="Medium Grid 1 Accent 4"/>
    <w:basedOn w:val="1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shd w:val="clear" w:color="auto" w:fill="BFB1D0" w:themeFill="accent4" w:themeFillTint="7F"/>
      </w:tcPr>
    </w:tblStylePr>
  </w:style>
  <w:style w:type="table" w:styleId="120">
    <w:name w:val="Medium Grid 1 Accent 5"/>
    <w:basedOn w:val="1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shd w:val="clear" w:color="auto" w:fill="A5D5E2" w:themeFill="accent5" w:themeFillTint="7F"/>
      </w:tcPr>
    </w:tblStylePr>
  </w:style>
  <w:style w:type="table" w:styleId="121">
    <w:name w:val="Medium Grid 1 Accent 6"/>
    <w:basedOn w:val="1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shd w:val="clear" w:color="auto" w:fill="FBCAA2" w:themeFill="accent6" w:themeFillTint="7F"/>
      </w:tcPr>
    </w:tblStylePr>
  </w:style>
  <w:style w:type="table" w:styleId="122">
    <w:name w:val="Medium Grid 2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3">
    <w:name w:val="Medium Grid 2 Accent 1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4">
    <w:name w:val="Medium Grid 2 Accent 2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5">
    <w:name w:val="Medium Grid 2 Accent 3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6">
    <w:name w:val="Medium Grid 2 Accent 4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7">
    <w:name w:val="Medium Grid 2 Accent 5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8">
    <w:name w:val="Medium Grid 2 Accent 6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9">
    <w:name w:val="Medium Grid 3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130">
    <w:name w:val="Medium Grid 3 Accent 1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31">
    <w:name w:val="Medium Grid 3 Accent 2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32">
    <w:name w:val="Medium Grid 3 Accent 3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33">
    <w:name w:val="Medium Grid 3 Accent 4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34">
    <w:name w:val="Medium Grid 3 Accent 5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35">
    <w:name w:val="Medium Grid 3 Accent 6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36">
    <w:name w:val="Dark List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cPr>
      <w:shd w:val="clear" w:color="auto" w:fill="000000" w:themeFill="text1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37">
    <w:name w:val="Dark List Accent 1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cPr>
      <w:shd w:val="clear" w:color="auto" w:fill="4F81BD" w:themeFill="accent1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38">
    <w:name w:val="Dark List Accent 2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cPr>
      <w:shd w:val="clear" w:color="auto" w:fill="C0504D" w:themeFill="accent2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39">
    <w:name w:val="Dark List Accent 3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cPr>
      <w:shd w:val="clear" w:color="auto" w:fill="9BBB59" w:themeFill="accent3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40">
    <w:name w:val="Dark List Accent 4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cPr>
      <w:shd w:val="clear" w:color="auto" w:fill="8064A2" w:themeFill="accent4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41">
    <w:name w:val="Dark List Accent 5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cPr>
      <w:shd w:val="clear" w:color="auto" w:fill="4BACC6" w:themeFill="accent5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42">
    <w:name w:val="Dark List Accent 6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cPr>
      <w:shd w:val="clear" w:color="auto" w:fill="F79646" w:themeFill="accent6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43">
    <w:name w:val="Colorful Shading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5E5E5" w:themeFill="text1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cPr>
        <w:shd w:val="clear" w:color="auto" w:fill="999999" w:themeFill="text1" w:themeFillTint="66"/>
      </w:tcPr>
    </w:tblStylePr>
    <w:tblStylePr w:type="band1Horz"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4">
    <w:name w:val="Colorful Shading Accent 1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cPr>
        <w:shd w:val="clear" w:color="auto" w:fill="B8CCE4" w:themeFill="accent1" w:themeFillTint="66"/>
      </w:tcPr>
    </w:tblStylePr>
    <w:tblStylePr w:type="band1Horz"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5">
    <w:name w:val="Colorful Shading Accent 2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cPr>
        <w:shd w:val="clear" w:color="auto" w:fill="E5B8B7" w:themeFill="accent2" w:themeFillTint="66"/>
      </w:tcPr>
    </w:tblStylePr>
    <w:tblStylePr w:type="band1Horz"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6">
    <w:name w:val="Colorful Shading Accent 3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cPr>
        <w:shd w:val="clear" w:color="auto" w:fill="D6E3BC" w:themeFill="accent3" w:themeFillTint="66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47">
    <w:name w:val="Colorful Shading Accent 4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5" w:themeFill="accent4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cPr>
        <w:shd w:val="clear" w:color="auto" w:fill="CCC0D9" w:themeFill="accent4" w:themeFillTint="66"/>
      </w:tcPr>
    </w:tblStylePr>
    <w:tblStylePr w:type="band1Horz"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8">
    <w:name w:val="Colorful Shading Accent 5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cPr>
        <w:shd w:val="clear" w:color="auto" w:fill="B6DDE8" w:themeFill="accent5" w:themeFillTint="66"/>
      </w:tcPr>
    </w:tblStylePr>
    <w:tblStylePr w:type="band1Horz"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9">
    <w:name w:val="Colorful Shading Accent 6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cPr>
        <w:shd w:val="clear" w:color="auto" w:fill="FBD4B4" w:themeFill="accent6" w:themeFillTint="66"/>
      </w:tcPr>
    </w:tblStylePr>
    <w:tblStylePr w:type="band1Horz"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50">
    <w:name w:val="Colorful List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shd w:val="clear" w:color="auto" w:fill="CCCCCC" w:themeFill="text1" w:themeFillTint="33"/>
      </w:tcPr>
    </w:tblStylePr>
  </w:style>
  <w:style w:type="table" w:styleId="151">
    <w:name w:val="Colorful List Accent 1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shd w:val="clear" w:color="auto" w:fill="DBE5F1" w:themeFill="accent1" w:themeFillTint="33"/>
      </w:tcPr>
    </w:tblStylePr>
  </w:style>
  <w:style w:type="table" w:styleId="152">
    <w:name w:val="Colorful List Accent 2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shd w:val="clear" w:color="auto" w:fill="F2DBDB" w:themeFill="accent2" w:themeFillTint="33"/>
      </w:tcPr>
    </w:tblStylePr>
  </w:style>
  <w:style w:type="table" w:styleId="153">
    <w:name w:val="Colorful List Accent 3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shd w:val="clear" w:color="auto" w:fill="EAF1DD" w:themeFill="accent3" w:themeFillTint="33"/>
      </w:tcPr>
    </w:tblStylePr>
  </w:style>
  <w:style w:type="table" w:styleId="154">
    <w:name w:val="Colorful List Accent 4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shd w:val="clear" w:color="auto" w:fill="E5DFEC" w:themeFill="accent4" w:themeFillTint="33"/>
      </w:tcPr>
    </w:tblStylePr>
  </w:style>
  <w:style w:type="table" w:styleId="155">
    <w:name w:val="Colorful List Accent 5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shd w:val="clear" w:color="auto" w:fill="DAEEF3" w:themeFill="accent5" w:themeFillTint="33"/>
      </w:tcPr>
    </w:tblStylePr>
  </w:style>
  <w:style w:type="table" w:styleId="156">
    <w:name w:val="Colorful List Accent 6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shd w:val="clear" w:color="auto" w:fill="FDE9D9" w:themeFill="accent6" w:themeFillTint="33"/>
      </w:tcPr>
    </w:tblStylePr>
  </w:style>
  <w:style w:type="table" w:styleId="157">
    <w:name w:val="Colorful Grid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 w:themeFillShade="BF"/>
      </w:tc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shd w:val="clear" w:color="auto" w:fill="7F7F7F" w:themeFill="text1" w:themeFillTint="7F"/>
      </w:tcPr>
    </w:tblStylePr>
  </w:style>
  <w:style w:type="table" w:styleId="158">
    <w:name w:val="Colorful Grid Accent 1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66091" w:themeFill="accent1" w:themeFillShade="BF"/>
      </w:tc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shd w:val="clear" w:color="auto" w:fill="A7C0DE" w:themeFill="accent1" w:themeFillTint="7F"/>
      </w:tcPr>
    </w:tblStylePr>
  </w:style>
  <w:style w:type="table" w:styleId="159">
    <w:name w:val="Colorful Grid Accent 2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43734" w:themeFill="accent2" w:themeFillShade="BF"/>
      </w:tc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shd w:val="clear" w:color="auto" w:fill="DFA7A6" w:themeFill="accent2" w:themeFillTint="7F"/>
      </w:tcPr>
    </w:tblStylePr>
  </w:style>
  <w:style w:type="table" w:styleId="160">
    <w:name w:val="Colorful Grid Accent 3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76923C" w:themeFill="accent3" w:themeFillShade="BF"/>
      </w:tc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61">
    <w:name w:val="Colorful Grid Accent 4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5F497A" w:themeFill="accent4" w:themeFillShade="BF"/>
      </w:tc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shd w:val="clear" w:color="auto" w:fill="BFB1D0" w:themeFill="accent4" w:themeFillTint="7F"/>
      </w:tcPr>
    </w:tblStylePr>
  </w:style>
  <w:style w:type="table" w:styleId="162">
    <w:name w:val="Colorful Grid Accent 5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1849B" w:themeFill="accent5" w:themeFillShade="BF"/>
      </w:tc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shd w:val="clear" w:color="auto" w:fill="A5D5E2" w:themeFill="accent5" w:themeFillTint="7F"/>
      </w:tcPr>
    </w:tblStylePr>
  </w:style>
  <w:style w:type="table" w:styleId="163">
    <w:name w:val="Colorful Grid Accent 6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E36C09" w:themeFill="accent6" w:themeFillShade="BF"/>
      </w:tc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shd w:val="clear" w:color="auto" w:fill="FBCAA2" w:themeFill="accent6" w:themeFillTint="7F"/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1396</Words>
  <Characters>10579</Characters>
  <Lines>85</Lines>
  <Paragraphs>23</Paragraphs>
  <TotalTime>7</TotalTime>
  <ScaleCrop>false</ScaleCrop>
  <LinksUpToDate>false</LinksUpToDate>
  <CharactersWithSpaces>11883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user</dc:creator>
  <cp:lastModifiedBy>user</cp:lastModifiedBy>
  <dcterms:modified xsi:type="dcterms:W3CDTF">2026-10-27T07:17:46Z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eyJoZGlkIjoiZWY1ZDVmZmIzZDBkMGVjOGM4ZTdhMWQxYmI1MTYzY2QifQ==</vt:lpwstr>
  </property>
  <property fmtid="{D5CDD505-2E9C-101B-9397-08002B2CF9AE}" pid="3" name="KSOProductBuildVer">
    <vt:lpwstr>1049-12.1.0.29162</vt:lpwstr>
  </property>
  <property fmtid="{D5CDD505-2E9C-101B-9397-08002B2CF9AE}" pid="4" name="ICV">
    <vt:lpwstr>D63EA4CDD0CA45FCB873C79F44C77BE4_13</vt:lpwstr>
  </property>
</Properties>
</file>