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Bdr>
          <w:bottom w:val="single" w:sz="16" w:space="4" w:color="4472C4"/>
        </w:pBdr>
      </w:pPr>
      <w:r>
        <w:rPr>
          <w:rFonts w:ascii="Times New Roman" w:hAnsi="Times New Roman" w:eastAsia="Times New Roman"/>
          <w:b/>
          <w:sz w:val="28"/>
        </w:rPr>
        <w:t>ОП-5 ұнтақты өрт сөндіргіштеріне техникалық қызмет көрсету және оларды қайта зарядтау жөніндегі техникалық ерекшелік</w:t>
      </w:r>
    </w:p>
    <w:p>
      <w:pPr>
        <w:pStyle w:val="Heading1"/>
      </w:pPr>
      <w:r>
        <w:rPr>
          <w:rFonts w:ascii="Times New Roman" w:hAnsi="Times New Roman" w:eastAsia="Times New Roman"/>
          <w:b/>
          <w:sz w:val="24"/>
        </w:rPr>
        <w:t>1. Сатып алу туралы мәліметтер</w:t>
      </w:r>
    </w:p>
    <w:tbl>
      <w:tblPr>
        <w:tblW w:type="auto" w:w="0"/>
        <w:jc w:val="center"/>
        <w:tblLayout w:type="fixed"/>
        <w:tblLook w:firstColumn="1" w:firstRow="1" w:lastColumn="0" w:lastRow="0" w:noHBand="0" w:noVBand="1" w:val="04A0"/>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Pr>
      <w:tblGrid>
        <w:gridCol w:w="4961"/>
        <w:gridCol w:w="4961"/>
      </w:tblGrid>
      <w:tr>
        <w:trPr>
          <w:cantSplit/>
          <w:tblHeader w:val="true"/>
        </w:trPr>
        <w:tc>
          <w:tcPr>
            <w:tcW w:type="dxa" w:w="3005"/>
            <w:vAlign w:val="center"/>
            <w:tcMar>
              <w:top w:w="80" w:type="dxa"/>
              <w:start w:w="100" w:type="dxa"/>
              <w:bottom w:w="80" w:type="dxa"/>
              <w:end w:w="100" w:type="dxa"/>
            </w:tcMar>
            <w:shd w:fill="1F4E78"/>
          </w:tcPr>
          <w:p>
            <w:pPr>
              <w:spacing w:after="0" w:line="240" w:lineRule="auto"/>
              <w:jc w:val="left"/>
            </w:pPr>
            <w:r>
              <w:rPr>
                <w:rFonts w:ascii="Times New Roman" w:hAnsi="Times New Roman" w:eastAsia="Times New Roman"/>
                <w:b/>
                <w:color w:val="FFFFFF"/>
                <w:sz w:val="21"/>
              </w:rPr>
              <w:t>Өріс</w:t>
            </w:r>
          </w:p>
        </w:tc>
        <w:tc>
          <w:tcPr>
            <w:tcW w:type="dxa" w:w="6917"/>
            <w:vAlign w:val="center"/>
            <w:tcMar>
              <w:top w:w="80" w:type="dxa"/>
              <w:start w:w="100" w:type="dxa"/>
              <w:bottom w:w="80" w:type="dxa"/>
              <w:end w:w="100" w:type="dxa"/>
            </w:tcMar>
            <w:shd w:fill="1F4E78"/>
          </w:tcPr>
          <w:p>
            <w:pPr>
              <w:spacing w:after="0" w:line="240" w:lineRule="auto"/>
              <w:jc w:val="left"/>
            </w:pPr>
            <w:r>
              <w:rPr>
                <w:rFonts w:ascii="Times New Roman" w:hAnsi="Times New Roman" w:eastAsia="Times New Roman"/>
                <w:b/>
                <w:color w:val="FFFFFF"/>
                <w:sz w:val="21"/>
              </w:rPr>
              <w:t>Мәні</w:t>
            </w:r>
          </w:p>
        </w:tc>
      </w:tr>
      <w:tr>
        <w:trPr>
          <w:cantSplit/>
        </w:trPr>
        <w:tc>
          <w:tcPr>
            <w:tcW w:type="dxa" w:w="3005"/>
            <w:vAlign w:val="center"/>
            <w:tcMar>
              <w:top w:w="80" w:type="dxa"/>
              <w:start w:w="100" w:type="dxa"/>
              <w:bottom w:w="80" w:type="dxa"/>
              <w:end w:w="100" w:type="dxa"/>
            </w:tcMar>
            <w:shd w:fill="EAF0F8"/>
          </w:tcPr>
          <w:p>
            <w:pPr>
              <w:spacing w:after="0" w:line="240" w:lineRule="auto"/>
              <w:jc w:val="left"/>
            </w:pPr>
            <w:r>
              <w:rPr>
                <w:rFonts w:ascii="Times New Roman" w:hAnsi="Times New Roman" w:eastAsia="Times New Roman"/>
                <w:b w:val="0"/>
                <w:sz w:val="21"/>
              </w:rPr>
              <w:t>Тапсырыс берушінің атауы</w:t>
            </w:r>
          </w:p>
        </w:tc>
        <w:tc>
          <w:tcPr>
            <w:tcW w:type="dxa" w:w="6917"/>
            <w:vAlign w:val="center"/>
            <w:tcMar>
              <w:top w:w="80" w:type="dxa"/>
              <w:start w:w="100" w:type="dxa"/>
              <w:bottom w:w="80" w:type="dxa"/>
              <w:end w:w="100" w:type="dxa"/>
            </w:tcMar>
            <w:shd w:fill="EAF0F8"/>
          </w:tcPr>
          <w:p>
            <w:pPr>
              <w:spacing w:after="0" w:line="240" w:lineRule="auto"/>
              <w:jc w:val="left"/>
            </w:pPr>
            <w:r>
              <w:rPr>
                <w:rFonts w:ascii="Times New Roman" w:hAnsi="Times New Roman" w:eastAsia="Times New Roman"/>
                <w:b w:val="0"/>
                <w:sz w:val="21"/>
              </w:rPr>
              <w:t>Қазақстан Республикасы Өнеркәсіп және құрылыс министрлігі Өнеркәсіп комитетінің «Ұлттық технологиялық болжау орталығы» шаруашылық жүргізу құқығындағы республикалық мемлекеттік кәсіпорны, БСН 990340011406</w:t>
            </w:r>
          </w:p>
        </w:tc>
      </w:tr>
      <w:tr>
        <w:trPr>
          <w:cantSplit/>
        </w:trPr>
        <w:tc>
          <w:tcPr>
            <w:tcW w:type="dxa" w:w="3005"/>
            <w:vAlign w:val="center"/>
            <w:tcMar>
              <w:top w:w="80" w:type="dxa"/>
              <w:start w:w="100" w:type="dxa"/>
              <w:bottom w:w="80" w:type="dxa"/>
              <w:end w:w="100" w:type="dxa"/>
            </w:tcMar>
            <w:shd w:fill="FFFFFF"/>
          </w:tcPr>
          <w:p>
            <w:pPr>
              <w:spacing w:after="0" w:line="240" w:lineRule="auto"/>
              <w:jc w:val="left"/>
            </w:pPr>
            <w:r>
              <w:rPr>
                <w:rFonts w:ascii="Times New Roman" w:hAnsi="Times New Roman" w:eastAsia="Times New Roman"/>
                <w:b w:val="0"/>
                <w:sz w:val="21"/>
              </w:rPr>
              <w:t>Сатып алу нысанасының түрі</w:t>
            </w:r>
          </w:p>
        </w:tc>
        <w:tc>
          <w:tcPr>
            <w:tcW w:type="dxa" w:w="6917"/>
            <w:vAlign w:val="center"/>
            <w:tcMar>
              <w:top w:w="80" w:type="dxa"/>
              <w:start w:w="100" w:type="dxa"/>
              <w:bottom w:w="80" w:type="dxa"/>
              <w:end w:w="100" w:type="dxa"/>
            </w:tcMar>
            <w:shd w:fill="FFFFFF"/>
          </w:tcPr>
          <w:p>
            <w:pPr>
              <w:spacing w:after="0" w:line="240" w:lineRule="auto"/>
              <w:jc w:val="left"/>
            </w:pPr>
            <w:r>
              <w:rPr>
                <w:rFonts w:ascii="Times New Roman" w:hAnsi="Times New Roman" w:eastAsia="Times New Roman"/>
                <w:b w:val="0"/>
                <w:sz w:val="21"/>
              </w:rPr>
              <w:t>қызмет</w:t>
            </w:r>
          </w:p>
        </w:tc>
      </w:tr>
      <w:tr>
        <w:trPr>
          <w:cantSplit/>
        </w:trPr>
        <w:tc>
          <w:tcPr>
            <w:tcW w:type="dxa" w:w="3005"/>
            <w:vAlign w:val="center"/>
            <w:tcMar>
              <w:top w:w="80" w:type="dxa"/>
              <w:start w:w="100" w:type="dxa"/>
              <w:bottom w:w="80" w:type="dxa"/>
              <w:end w:w="100" w:type="dxa"/>
            </w:tcMar>
            <w:shd w:fill="EAF0F8"/>
          </w:tcPr>
          <w:p>
            <w:pPr>
              <w:spacing w:after="0" w:line="240" w:lineRule="auto"/>
              <w:jc w:val="left"/>
            </w:pPr>
            <w:r>
              <w:rPr>
                <w:rFonts w:ascii="Times New Roman" w:hAnsi="Times New Roman" w:eastAsia="Times New Roman"/>
                <w:b w:val="0"/>
                <w:sz w:val="21"/>
              </w:rPr>
              <w:t>ТЖҚ БНА коды</w:t>
            </w:r>
          </w:p>
        </w:tc>
        <w:tc>
          <w:tcPr>
            <w:tcW w:type="dxa" w:w="6917"/>
            <w:vAlign w:val="center"/>
            <w:tcMar>
              <w:top w:w="80" w:type="dxa"/>
              <w:start w:w="100" w:type="dxa"/>
              <w:bottom w:w="80" w:type="dxa"/>
              <w:end w:w="100" w:type="dxa"/>
            </w:tcMar>
            <w:shd w:fill="EAF0F8"/>
          </w:tcPr>
          <w:p>
            <w:pPr>
              <w:spacing w:after="0" w:line="240" w:lineRule="auto"/>
              <w:jc w:val="left"/>
            </w:pPr>
            <w:r>
              <w:rPr>
                <w:rFonts w:ascii="Times New Roman" w:hAnsi="Times New Roman" w:eastAsia="Times New Roman"/>
                <w:b w:val="0"/>
                <w:sz w:val="21"/>
              </w:rPr>
              <w:t>801019.000.000005</w:t>
            </w:r>
          </w:p>
        </w:tc>
      </w:tr>
      <w:tr>
        <w:trPr>
          <w:cantSplit/>
        </w:trPr>
        <w:tc>
          <w:tcPr>
            <w:tcW w:type="dxa" w:w="3005"/>
            <w:vAlign w:val="center"/>
            <w:tcMar>
              <w:top w:w="80" w:type="dxa"/>
              <w:start w:w="100" w:type="dxa"/>
              <w:bottom w:w="80" w:type="dxa"/>
              <w:end w:w="100" w:type="dxa"/>
            </w:tcMar>
            <w:shd w:fill="FFFFFF"/>
          </w:tcPr>
          <w:p>
            <w:pPr>
              <w:spacing w:after="0" w:line="240" w:lineRule="auto"/>
              <w:jc w:val="left"/>
            </w:pPr>
            <w:r>
              <w:rPr>
                <w:rFonts w:ascii="Times New Roman" w:hAnsi="Times New Roman" w:eastAsia="Times New Roman"/>
                <w:b w:val="0"/>
                <w:sz w:val="21"/>
              </w:rPr>
              <w:t>ТЖҚ БНА бойынша атауы</w:t>
            </w:r>
          </w:p>
        </w:tc>
        <w:tc>
          <w:tcPr>
            <w:tcW w:type="dxa" w:w="6917"/>
            <w:vAlign w:val="center"/>
            <w:tcMar>
              <w:top w:w="80" w:type="dxa"/>
              <w:start w:w="100" w:type="dxa"/>
              <w:bottom w:w="80" w:type="dxa"/>
              <w:end w:w="100" w:type="dxa"/>
            </w:tcMar>
            <w:shd w:fill="FFFFFF"/>
          </w:tcPr>
          <w:p>
            <w:pPr>
              <w:spacing w:after="0" w:line="240" w:lineRule="auto"/>
              <w:jc w:val="left"/>
            </w:pPr>
            <w:r>
              <w:rPr>
                <w:rFonts w:ascii="Times New Roman" w:hAnsi="Times New Roman" w:eastAsia="Times New Roman"/>
                <w:b w:val="0"/>
                <w:sz w:val="21"/>
              </w:rPr>
              <w:t>Өрткеқарсы құралдарды/құрал-саймандарды/жабдықтауды (қауіпсіздік жүйелерінен басқа) техникалық қамтамасыз ету бойынша қызмет көрсетулер</w:t>
            </w:r>
          </w:p>
        </w:tc>
      </w:tr>
      <w:tr>
        <w:trPr>
          <w:cantSplit/>
        </w:trPr>
        <w:tc>
          <w:tcPr>
            <w:tcW w:type="dxa" w:w="3005"/>
            <w:vAlign w:val="center"/>
            <w:tcMar>
              <w:top w:w="80" w:type="dxa"/>
              <w:start w:w="100" w:type="dxa"/>
              <w:bottom w:w="80" w:type="dxa"/>
              <w:end w:w="100" w:type="dxa"/>
            </w:tcMar>
            <w:shd w:fill="EAF0F8"/>
          </w:tcPr>
          <w:p>
            <w:pPr>
              <w:spacing w:after="0" w:line="240" w:lineRule="auto"/>
              <w:jc w:val="left"/>
            </w:pPr>
            <w:r>
              <w:rPr>
                <w:rFonts w:ascii="Times New Roman" w:hAnsi="Times New Roman" w:eastAsia="Times New Roman"/>
                <w:b w:val="0"/>
                <w:sz w:val="21"/>
              </w:rPr>
              <w:t>Қызметтің атауы</w:t>
            </w:r>
          </w:p>
        </w:tc>
        <w:tc>
          <w:tcPr>
            <w:tcW w:type="dxa" w:w="6917"/>
            <w:vAlign w:val="center"/>
            <w:tcMar>
              <w:top w:w="80" w:type="dxa"/>
              <w:start w:w="100" w:type="dxa"/>
              <w:bottom w:w="80" w:type="dxa"/>
              <w:end w:w="100" w:type="dxa"/>
            </w:tcMar>
            <w:shd w:fill="EAF0F8"/>
          </w:tcPr>
          <w:p>
            <w:pPr>
              <w:spacing w:after="0" w:line="240" w:lineRule="auto"/>
              <w:jc w:val="left"/>
            </w:pPr>
            <w:r>
              <w:rPr>
                <w:rFonts w:ascii="Times New Roman" w:hAnsi="Times New Roman" w:eastAsia="Times New Roman"/>
                <w:b w:val="0"/>
                <w:sz w:val="21"/>
              </w:rPr>
              <w:t>ОП-5 ұнтақты өрт сөндіргіштеріне техникалық қызмет көрсету және оларды толық қайта зарядтау</w:t>
            </w:r>
          </w:p>
        </w:tc>
      </w:tr>
      <w:tr>
        <w:trPr>
          <w:cantSplit/>
        </w:trPr>
        <w:tc>
          <w:tcPr>
            <w:tcW w:type="dxa" w:w="3005"/>
            <w:vAlign w:val="center"/>
            <w:tcMar>
              <w:top w:w="80" w:type="dxa"/>
              <w:start w:w="100" w:type="dxa"/>
              <w:bottom w:w="80" w:type="dxa"/>
              <w:end w:w="100" w:type="dxa"/>
            </w:tcMar>
            <w:shd w:fill="FFFFFF"/>
          </w:tcPr>
          <w:p>
            <w:pPr>
              <w:spacing w:after="0" w:line="240" w:lineRule="auto"/>
              <w:jc w:val="left"/>
            </w:pPr>
            <w:r>
              <w:rPr>
                <w:rFonts w:ascii="Times New Roman" w:hAnsi="Times New Roman" w:eastAsia="Times New Roman"/>
                <w:b w:val="0"/>
                <w:sz w:val="21"/>
              </w:rPr>
              <w:t>Өлшем бірлігі</w:t>
            </w:r>
          </w:p>
        </w:tc>
        <w:tc>
          <w:tcPr>
            <w:tcW w:type="dxa" w:w="6917"/>
            <w:vAlign w:val="center"/>
            <w:tcMar>
              <w:top w:w="80" w:type="dxa"/>
              <w:start w:w="100" w:type="dxa"/>
              <w:bottom w:w="80" w:type="dxa"/>
              <w:end w:w="100" w:type="dxa"/>
            </w:tcMar>
            <w:shd w:fill="FFFFFF"/>
          </w:tcPr>
          <w:p>
            <w:pPr>
              <w:spacing w:after="0" w:line="240" w:lineRule="auto"/>
              <w:jc w:val="left"/>
            </w:pPr>
            <w:r>
              <w:rPr>
                <w:rFonts w:ascii="Times New Roman" w:hAnsi="Times New Roman" w:eastAsia="Times New Roman"/>
                <w:b w:val="0"/>
                <w:sz w:val="21"/>
              </w:rPr>
              <w:t>қызмет</w:t>
            </w:r>
          </w:p>
        </w:tc>
      </w:tr>
      <w:tr>
        <w:trPr>
          <w:cantSplit/>
        </w:trPr>
        <w:tc>
          <w:tcPr>
            <w:tcW w:type="dxa" w:w="3005"/>
            <w:vAlign w:val="center"/>
            <w:tcMar>
              <w:top w:w="80" w:type="dxa"/>
              <w:start w:w="100" w:type="dxa"/>
              <w:bottom w:w="80" w:type="dxa"/>
              <w:end w:w="100" w:type="dxa"/>
            </w:tcMar>
            <w:shd w:fill="EAF0F8"/>
          </w:tcPr>
          <w:p>
            <w:pPr>
              <w:spacing w:after="0" w:line="240" w:lineRule="auto"/>
              <w:jc w:val="left"/>
            </w:pPr>
            <w:r>
              <w:rPr>
                <w:rFonts w:ascii="Times New Roman" w:hAnsi="Times New Roman" w:eastAsia="Times New Roman"/>
                <w:b w:val="0"/>
                <w:sz w:val="21"/>
              </w:rPr>
              <w:t>Саны</w:t>
            </w:r>
          </w:p>
        </w:tc>
        <w:tc>
          <w:tcPr>
            <w:tcW w:type="dxa" w:w="6917"/>
            <w:vAlign w:val="center"/>
            <w:tcMar>
              <w:top w:w="80" w:type="dxa"/>
              <w:start w:w="100" w:type="dxa"/>
              <w:bottom w:w="80" w:type="dxa"/>
              <w:end w:w="100" w:type="dxa"/>
            </w:tcMar>
            <w:shd w:fill="EAF0F8"/>
          </w:tcPr>
          <w:p>
            <w:pPr>
              <w:spacing w:after="0" w:line="240" w:lineRule="auto"/>
              <w:jc w:val="left"/>
            </w:pPr>
            <w:r>
              <w:rPr>
                <w:rFonts w:ascii="Times New Roman" w:hAnsi="Times New Roman" w:eastAsia="Times New Roman"/>
                <w:b w:val="0"/>
                <w:sz w:val="21"/>
              </w:rPr>
              <w:t>12 қызмет — әрбір өрт сөндіргішке бір қызметтен</w:t>
            </w:r>
          </w:p>
        </w:tc>
      </w:tr>
      <w:tr>
        <w:trPr>
          <w:cantSplit/>
        </w:trPr>
        <w:tc>
          <w:tcPr>
            <w:tcW w:type="dxa" w:w="3005"/>
            <w:vAlign w:val="center"/>
            <w:tcMar>
              <w:top w:w="80" w:type="dxa"/>
              <w:start w:w="100" w:type="dxa"/>
              <w:bottom w:w="80" w:type="dxa"/>
              <w:end w:w="100" w:type="dxa"/>
            </w:tcMar>
            <w:shd w:fill="FFFFFF"/>
          </w:tcPr>
          <w:p>
            <w:pPr>
              <w:spacing w:after="0" w:line="240" w:lineRule="auto"/>
              <w:jc w:val="left"/>
            </w:pPr>
            <w:r>
              <w:rPr>
                <w:rFonts w:ascii="Times New Roman" w:hAnsi="Times New Roman" w:eastAsia="Times New Roman"/>
                <w:b w:val="0"/>
                <w:sz w:val="21"/>
              </w:rPr>
              <w:t>Өрт сөндіргіштерді қабылдау және қайтару орны</w:t>
            </w:r>
          </w:p>
        </w:tc>
        <w:tc>
          <w:tcPr>
            <w:tcW w:type="dxa" w:w="6917"/>
            <w:vAlign w:val="center"/>
            <w:tcMar>
              <w:top w:w="80" w:type="dxa"/>
              <w:start w:w="100" w:type="dxa"/>
              <w:bottom w:w="80" w:type="dxa"/>
              <w:end w:w="100" w:type="dxa"/>
            </w:tcMar>
            <w:shd w:fill="FFFFFF"/>
          </w:tcPr>
          <w:p>
            <w:pPr>
              <w:spacing w:after="0" w:line="240" w:lineRule="auto"/>
              <w:jc w:val="left"/>
            </w:pPr>
            <w:r>
              <w:rPr>
                <w:rFonts w:ascii="Times New Roman" w:hAnsi="Times New Roman" w:eastAsia="Times New Roman"/>
                <w:b w:val="0"/>
                <w:sz w:val="21"/>
              </w:rPr>
              <w:t>Қазақстан Республикасы, Алматы қ., Абай даңғылы, 191</w:t>
            </w:r>
          </w:p>
        </w:tc>
      </w:tr>
      <w:tr>
        <w:trPr>
          <w:cantSplit/>
        </w:trPr>
        <w:tc>
          <w:tcPr>
            <w:tcW w:type="dxa" w:w="3005"/>
            <w:vAlign w:val="center"/>
            <w:tcMar>
              <w:top w:w="80" w:type="dxa"/>
              <w:start w:w="100" w:type="dxa"/>
              <w:bottom w:w="80" w:type="dxa"/>
              <w:end w:w="100" w:type="dxa"/>
            </w:tcMar>
            <w:shd w:fill="EAF0F8"/>
          </w:tcPr>
          <w:p>
            <w:pPr>
              <w:spacing w:after="0" w:line="240" w:lineRule="auto"/>
              <w:jc w:val="left"/>
            </w:pPr>
            <w:r>
              <w:rPr>
                <w:rFonts w:ascii="Times New Roman" w:hAnsi="Times New Roman" w:eastAsia="Times New Roman"/>
                <w:b w:val="0"/>
                <w:sz w:val="21"/>
              </w:rPr>
              <w:t>Қызмет көрсету мерзімі</w:t>
            </w:r>
          </w:p>
        </w:tc>
        <w:tc>
          <w:tcPr>
            <w:tcW w:type="dxa" w:w="6917"/>
            <w:vAlign w:val="center"/>
            <w:tcMar>
              <w:top w:w="80" w:type="dxa"/>
              <w:start w:w="100" w:type="dxa"/>
              <w:bottom w:w="80" w:type="dxa"/>
              <w:end w:w="100" w:type="dxa"/>
            </w:tcMar>
            <w:shd w:fill="EAF0F8"/>
          </w:tcPr>
          <w:p>
            <w:pPr>
              <w:spacing w:after="0" w:line="240" w:lineRule="auto"/>
              <w:jc w:val="left"/>
            </w:pPr>
            <w:r>
              <w:rPr>
                <w:rFonts w:ascii="Times New Roman" w:hAnsi="Times New Roman" w:eastAsia="Times New Roman"/>
                <w:b w:val="0"/>
                <w:sz w:val="21"/>
              </w:rPr>
              <w:t>шарт күшіне енген күннен бастап 15 күнтізбелік күннен аспайтын мерзімде</w:t>
            </w:r>
          </w:p>
        </w:tc>
      </w:tr>
    </w:tbl>
    <w:p>
      <w:pPr>
        <w:pStyle w:val="Heading1"/>
      </w:pPr>
      <w:r>
        <w:rPr>
          <w:rFonts w:ascii="Times New Roman" w:hAnsi="Times New Roman" w:eastAsia="Times New Roman"/>
          <w:b/>
          <w:sz w:val="24"/>
        </w:rPr>
        <w:t>2. Қызмет көрсету объектісі және мақсаты</w:t>
      </w:r>
    </w:p>
    <w:p>
      <w:pPr>
        <w:keepNext w:val="0"/>
        <w:widowControl/>
        <w:spacing w:line="252" w:lineRule="auto" w:before="0" w:after="60"/>
        <w:ind w:firstLine="709"/>
        <w:jc w:val="both"/>
      </w:pPr>
      <w:r>
        <w:rPr>
          <w:rFonts w:ascii="Times New Roman" w:hAnsi="Times New Roman" w:eastAsia="Times New Roman"/>
          <w:b w:val="0"/>
          <w:sz w:val="23"/>
        </w:rPr>
        <w:t>Қызмет көрсету объектісі — өрт сөндіру ұнтағының номиналды массасы 5 кг болатын, корпусына ығыстырушы газ алдын ала айдалған ОП-5 үлгісіндегі 12 тасымалды ұнтақты өрт сөндіргіш.</w:t>
      </w:r>
    </w:p>
    <w:p>
      <w:pPr>
        <w:keepNext w:val="0"/>
        <w:widowControl/>
        <w:spacing w:line="252" w:lineRule="auto" w:before="0" w:after="60"/>
        <w:ind w:firstLine="709"/>
        <w:jc w:val="both"/>
      </w:pPr>
      <w:r>
        <w:rPr>
          <w:rFonts w:ascii="Times New Roman" w:hAnsi="Times New Roman" w:eastAsia="Times New Roman"/>
          <w:b w:val="0"/>
          <w:sz w:val="23"/>
        </w:rPr>
        <w:t>Қызметтің мақсаты — техникалық қызмет көрсету, ұнтақ зарядын толық ауыстыру және жұмысқа қабілеттілігін тексеру арқылы одан әрі пайдалануға жарамды әрбір өрт сөндіргішті жұмысқа жарамды күйге келтіру.</w:t>
      </w:r>
    </w:p>
    <w:p>
      <w:pPr>
        <w:keepNext w:val="0"/>
        <w:widowControl/>
        <w:spacing w:line="252" w:lineRule="auto" w:before="0" w:after="60"/>
        <w:ind w:firstLine="709"/>
        <w:jc w:val="both"/>
      </w:pPr>
      <w:r>
        <w:rPr>
          <w:rFonts w:ascii="Times New Roman" w:hAnsi="Times New Roman" w:eastAsia="Times New Roman"/>
          <w:b w:val="0"/>
          <w:sz w:val="23"/>
        </w:rPr>
        <w:t>Жұмыстар Қазақстан Республикасы заңнамасының қолданыстағы міндетті талаптарына, ҚР СТ 1487-2006 «Өрт сөндіру техникасы. Өрт сөндіргіштер. Пайдалану талаптары» стандартына және нақты өрт сөндіргішті дайындаушының пайдалану құжаттамасына сәйкес орындалады.</w:t>
      </w:r>
    </w:p>
    <w:p>
      <w:pPr>
        <w:pStyle w:val="Heading1"/>
      </w:pPr>
      <w:r>
        <w:rPr>
          <w:rFonts w:ascii="Times New Roman" w:hAnsi="Times New Roman" w:eastAsia="Times New Roman"/>
          <w:b/>
          <w:sz w:val="24"/>
        </w:rPr>
        <w:t>3. Әрбір өрт сөндіргіш бойынша қызметтің құрамы</w:t>
      </w:r>
    </w:p>
    <w:p>
      <w:pPr>
        <w:keepNext w:val="0"/>
        <w:widowControl/>
        <w:spacing w:line="252" w:lineRule="auto" w:before="0" w:after="60"/>
        <w:ind w:firstLine="709"/>
        <w:jc w:val="both"/>
      </w:pPr>
      <w:r>
        <w:rPr>
          <w:rFonts w:ascii="Times New Roman" w:hAnsi="Times New Roman" w:eastAsia="Times New Roman"/>
          <w:b w:val="0"/>
          <w:sz w:val="23"/>
        </w:rPr>
        <w:t>Әрбір өрт сөндіргіш бойынша Орындаушы осы бөлімнің 1–3-тармақтарында көзделген әрекеттерді орындауға міндетті. 4–11-тармақтарда көзделген әрекеттер өрт сөндіргішке техникалық қызмет көрсетуді жалғастыру мүмкіндігі расталғаннан кейін орындалады:</w:t>
      </w:r>
    </w:p>
    <w:p>
      <w:pPr>
        <w:widowControl/>
        <w:spacing w:after="50" w:line="247" w:lineRule="auto"/>
        <w:ind w:left="397" w:hanging="397" w:right="0"/>
        <w:jc w:val="both"/>
      </w:pPr>
      <w:r>
        <w:rPr>
          <w:rFonts w:ascii="Times New Roman" w:hAnsi="Times New Roman" w:eastAsia="Times New Roman"/>
          <w:sz w:val="23"/>
        </w:rPr>
        <w:t>1. Өрт сөндіргішті қабылдау, бұл ретте оның маркасын, бар болса зауыттық нөмірін және сыртқы жай-күйін тіркеу.</w:t>
      </w:r>
    </w:p>
    <w:p>
      <w:pPr>
        <w:widowControl/>
        <w:spacing w:after="50" w:line="247" w:lineRule="auto"/>
        <w:ind w:left="397" w:hanging="397" w:right="0"/>
        <w:jc w:val="both"/>
      </w:pPr>
      <w:r>
        <w:rPr>
          <w:rFonts w:ascii="Times New Roman" w:hAnsi="Times New Roman" w:eastAsia="Times New Roman"/>
          <w:sz w:val="23"/>
        </w:rPr>
        <w:t>2. Корпусты, бекіту-іске қосу құрылғысын, қысым индикаторын, жеңін немесе саптамасын, сақтандырғыш сұққышын (чекасын), пломбасын және таңбалануын сырттай қарап-тексеру.</w:t>
      </w:r>
    </w:p>
    <w:p>
      <w:pPr>
        <w:widowControl/>
        <w:spacing w:after="50" w:line="247" w:lineRule="auto"/>
        <w:ind w:left="397" w:hanging="397" w:right="0"/>
        <w:jc w:val="both"/>
      </w:pPr>
      <w:r>
        <w:rPr>
          <w:rFonts w:ascii="Times New Roman" w:hAnsi="Times New Roman" w:eastAsia="Times New Roman"/>
          <w:sz w:val="23"/>
        </w:rPr>
        <w:t>3. Өрт сөндіргіштің таңбалануы мен дайындаушының пайдалану құжаттамасы бойынша қызмет ету мерзімін және кезекті техникалық куәландыру мерзімін тексеру.</w:t>
      </w:r>
    </w:p>
    <w:p>
      <w:pPr>
        <w:widowControl/>
        <w:spacing w:after="50" w:line="247" w:lineRule="auto"/>
        <w:ind w:left="397" w:hanging="397" w:right="0"/>
        <w:jc w:val="both"/>
      </w:pPr>
      <w:r>
        <w:rPr>
          <w:rFonts w:ascii="Times New Roman" w:hAnsi="Times New Roman" w:eastAsia="Times New Roman"/>
          <w:sz w:val="23"/>
        </w:rPr>
        <w:t>4. Бұрынғы ұнтақ зарядын толығымен алып тастау, өрт сөндіргішті бөлшектеу, корпустың ішін тазалау және қарап-тексеру.</w:t>
      </w:r>
    </w:p>
    <w:p>
      <w:pPr>
        <w:widowControl/>
        <w:spacing w:after="50" w:line="247" w:lineRule="auto"/>
        <w:ind w:left="397" w:hanging="397" w:right="0"/>
        <w:jc w:val="both"/>
      </w:pPr>
      <w:r>
        <w:rPr>
          <w:rFonts w:ascii="Times New Roman" w:hAnsi="Times New Roman" w:eastAsia="Times New Roman"/>
          <w:sz w:val="23"/>
        </w:rPr>
        <w:t>5. Корпустың, бекіту-іске қосу құрылғысының және қосылыстардың герметикалығын тексеру.</w:t>
      </w:r>
    </w:p>
    <w:p>
      <w:pPr>
        <w:widowControl/>
        <w:spacing w:after="50" w:line="247" w:lineRule="auto"/>
        <w:ind w:left="397" w:hanging="397" w:right="0"/>
        <w:jc w:val="both"/>
      </w:pPr>
      <w:r>
        <w:rPr>
          <w:rFonts w:ascii="Times New Roman" w:hAnsi="Times New Roman" w:eastAsia="Times New Roman"/>
          <w:sz w:val="23"/>
        </w:rPr>
        <w:t>6. Егер тиісті сынақ мерзімі келген болса немесе қарап-тексеру нәтижелері бойынша стандарттау жөніндегі құжаттарға және дайындаушының құжаттамасына сәйкес қажеттілігі анықталса, корпустың беріктігін гидравликалық сынау және герметикалығын пневматикалық сынау.</w:t>
      </w:r>
    </w:p>
    <w:p>
      <w:pPr>
        <w:widowControl/>
        <w:spacing w:after="50" w:line="247" w:lineRule="auto"/>
        <w:ind w:left="397" w:hanging="397" w:right="0"/>
        <w:jc w:val="both"/>
      </w:pPr>
      <w:r>
        <w:rPr>
          <w:rFonts w:ascii="Times New Roman" w:hAnsi="Times New Roman" w:eastAsia="Times New Roman"/>
          <w:sz w:val="23"/>
        </w:rPr>
        <w:t>7. Бекіту-іске қосу құрылғысын, қысым индикаторын, жеңін немесе саптамасын қарап-тексеру, тазалау және олардың жұмысқа қабілеттілігін тексеру.</w:t>
      </w:r>
    </w:p>
    <w:p>
      <w:pPr>
        <w:widowControl/>
        <w:spacing w:after="50" w:line="247" w:lineRule="auto"/>
        <w:ind w:left="397" w:hanging="397" w:right="0"/>
        <w:jc w:val="both"/>
      </w:pPr>
      <w:r>
        <w:rPr>
          <w:rFonts w:ascii="Times New Roman" w:hAnsi="Times New Roman" w:eastAsia="Times New Roman"/>
          <w:sz w:val="23"/>
        </w:rPr>
        <w:t>8. Дайындаушы белгілеген мөлшерде өрт сөндіргішке үйлесімді жаңа өрт сөндіру ұнтағымен толық толтыру; ОП-5 үшін зарядтың номиналды массасы 5 кг құрайды.</w:t>
      </w:r>
    </w:p>
    <w:p>
      <w:pPr>
        <w:widowControl/>
        <w:spacing w:after="50" w:line="247" w:lineRule="auto"/>
        <w:ind w:left="397" w:hanging="397" w:right="0"/>
        <w:jc w:val="both"/>
      </w:pPr>
      <w:r>
        <w:rPr>
          <w:rFonts w:ascii="Times New Roman" w:hAnsi="Times New Roman" w:eastAsia="Times New Roman"/>
          <w:sz w:val="23"/>
        </w:rPr>
        <w:t>9. Корпусты дайындаушы көздеген жұмыс қысымына дейін ығыстырушы газбен толтыру және газдың ағып кетпеуін бақылау.</w:t>
      </w:r>
    </w:p>
    <w:p>
      <w:pPr>
        <w:widowControl/>
        <w:spacing w:after="50" w:line="247" w:lineRule="auto"/>
        <w:ind w:left="397" w:hanging="397" w:right="0"/>
        <w:jc w:val="both"/>
      </w:pPr>
      <w:r>
        <w:rPr>
          <w:rFonts w:ascii="Times New Roman" w:hAnsi="Times New Roman" w:eastAsia="Times New Roman"/>
          <w:sz w:val="23"/>
        </w:rPr>
        <w:t>10. Жарамды сақтандырғыш сұққыш пен пломбаны орнату және сервистік таңбалауды салу.</w:t>
      </w:r>
    </w:p>
    <w:p>
      <w:pPr>
        <w:widowControl/>
        <w:spacing w:after="50" w:line="247" w:lineRule="auto"/>
        <w:ind w:left="397" w:hanging="397" w:right="0"/>
        <w:jc w:val="both"/>
      </w:pPr>
      <w:r>
        <w:rPr>
          <w:rFonts w:ascii="Times New Roman" w:hAnsi="Times New Roman" w:eastAsia="Times New Roman"/>
          <w:sz w:val="23"/>
        </w:rPr>
        <w:t>11. Жиналған өрт сөндіргішті бақылап тексеру және орындалған қызмет көрсету туралы құжаттарды дайындау.</w:t>
      </w:r>
    </w:p>
    <w:p>
      <w:pPr>
        <w:keepNext w:val="0"/>
        <w:widowControl/>
        <w:spacing w:line="252" w:lineRule="auto" w:before="0" w:after="60"/>
        <w:ind w:firstLine="709"/>
        <w:jc w:val="both"/>
      </w:pPr>
      <w:r>
        <w:rPr>
          <w:rFonts w:ascii="Times New Roman" w:hAnsi="Times New Roman" w:eastAsia="Times New Roman"/>
          <w:b w:val="0"/>
          <w:sz w:val="23"/>
        </w:rPr>
        <w:t>Қызмет құнына өрт сөндіру ұнтағы, ығыстырушы газ, пломба, сақтандырғыш сұққыш, тығыздағыш элементтер, сервистік таңбалау және осы техникалық ерекшеліктің 3-бөлімінде көзделген жұмыстарды орындау үшін тікелей қажетті өзге де шығыс материалдары кіруге тиіс.</w:t>
      </w:r>
    </w:p>
    <w:p>
      <w:pPr>
        <w:pStyle w:val="Heading1"/>
      </w:pPr>
      <w:r>
        <w:rPr>
          <w:rFonts w:ascii="Times New Roman" w:hAnsi="Times New Roman" w:eastAsia="Times New Roman"/>
          <w:b/>
          <w:sz w:val="24"/>
        </w:rPr>
        <w:t>4. Ақаулар және жөндеу шектері</w:t>
      </w:r>
    </w:p>
    <w:p>
      <w:pPr>
        <w:widowControl/>
        <w:spacing w:after="50" w:line="247" w:lineRule="auto"/>
        <w:ind w:left="397" w:hanging="397" w:right="0"/>
        <w:jc w:val="both"/>
      </w:pPr>
      <w:r>
        <w:rPr>
          <w:rFonts w:ascii="Times New Roman" w:hAnsi="Times New Roman" w:eastAsia="Times New Roman"/>
          <w:sz w:val="23"/>
        </w:rPr>
        <w:t>1. Корпусты, бекіту-іске қосу құрылғысын, қысым индикаторын, жеңін немесе саптамасын ауыстыру сатып алу нысанасына кірмейді.</w:t>
      </w:r>
    </w:p>
    <w:p>
      <w:pPr>
        <w:widowControl/>
        <w:spacing w:after="50" w:line="247" w:lineRule="auto"/>
        <w:ind w:left="397" w:hanging="397" w:right="0"/>
        <w:jc w:val="both"/>
      </w:pPr>
      <w:r>
        <w:rPr>
          <w:rFonts w:ascii="Times New Roman" w:hAnsi="Times New Roman" w:eastAsia="Times New Roman"/>
          <w:sz w:val="23"/>
        </w:rPr>
        <w:t>2. Қауіпсіз қайта зарядтауға немесе одан әрі пайдалануға кедергі келтіретін ақау анықталған жағдайда Орындаушы тиісті өрт сөндіргіш бойынша жұмыстарды тоқтата тұрады және ақау актісін ресімдейді.</w:t>
      </w:r>
    </w:p>
    <w:p>
      <w:pPr>
        <w:widowControl/>
        <w:spacing w:after="50" w:line="247" w:lineRule="auto"/>
        <w:ind w:left="397" w:hanging="397" w:right="0"/>
        <w:jc w:val="both"/>
      </w:pPr>
      <w:r>
        <w:rPr>
          <w:rFonts w:ascii="Times New Roman" w:hAnsi="Times New Roman" w:eastAsia="Times New Roman"/>
          <w:sz w:val="23"/>
        </w:rPr>
        <w:t>3. Ақау актісінде өрт сөндіргіштің сәйкестендіру мәліметтері, анықталған ақау, тексеру немесе сынау нәтижесі және одан әрі қызмет көрсету мүмкіндігі туралы қорытынды көрсетіледі.</w:t>
      </w:r>
    </w:p>
    <w:p>
      <w:pPr>
        <w:widowControl/>
        <w:spacing w:after="50" w:line="247" w:lineRule="auto"/>
        <w:ind w:left="397" w:hanging="397" w:right="0"/>
        <w:jc w:val="both"/>
      </w:pPr>
      <w:r>
        <w:rPr>
          <w:rFonts w:ascii="Times New Roman" w:hAnsi="Times New Roman" w:eastAsia="Times New Roman"/>
          <w:sz w:val="23"/>
        </w:rPr>
        <w:t>4. Осы техникалық ерекшелікте көзделмеген жұмыстар мен қосалқы бөлшектер сатып алу нысанасына кірмейді және жасалған шарт шеңберінде орындалмайды. Қосалқы бөлшектерді сатып алу немесе қосымша жұмыстарды орындау қажеттілігін Тапсырыс беруші бөлек ресімдейді.</w:t>
      </w:r>
    </w:p>
    <w:p>
      <w:pPr>
        <w:widowControl/>
        <w:spacing w:after="50" w:line="247" w:lineRule="auto"/>
        <w:ind w:left="397" w:hanging="397" w:right="0"/>
        <w:jc w:val="both"/>
      </w:pPr>
      <w:r>
        <w:rPr>
          <w:rFonts w:ascii="Times New Roman" w:hAnsi="Times New Roman" w:eastAsia="Times New Roman"/>
          <w:sz w:val="23"/>
        </w:rPr>
        <w:t>5. Қызмет көрсетуге жарамсыз деп танылған өрт сөндіргіш бойынша қызмет қабылданбайды және оған ақы төленбейді. Мұндай өрт сөндіргіш ақау актісімен бірге Тапсырыс берушіге қайтарылады.</w:t>
      </w:r>
    </w:p>
    <w:p>
      <w:pPr>
        <w:pStyle w:val="Heading1"/>
      </w:pPr>
      <w:r>
        <w:rPr>
          <w:rFonts w:ascii="Times New Roman" w:hAnsi="Times New Roman" w:eastAsia="Times New Roman"/>
          <w:b/>
          <w:sz w:val="24"/>
        </w:rPr>
        <w:t>5. Орындаушыға және жұмыстарды ұйымдастыруға қойылатын талаптар</w:t>
      </w:r>
    </w:p>
    <w:p>
      <w:pPr>
        <w:widowControl/>
        <w:spacing w:after="50" w:line="247" w:lineRule="auto"/>
        <w:ind w:left="397" w:hanging="397" w:right="0"/>
        <w:jc w:val="both"/>
      </w:pPr>
      <w:r>
        <w:rPr>
          <w:rFonts w:ascii="Times New Roman" w:hAnsi="Times New Roman" w:eastAsia="Times New Roman"/>
          <w:sz w:val="23"/>
        </w:rPr>
        <w:t>1. Орындаушыда ұнтақты өрт сөндіргіштерге қауіпсіз қызмет көрсету және оларды қайта зарядтау үшін қажетті персонал, жабдық және үй-жай болуға тиіс.</w:t>
      </w:r>
    </w:p>
    <w:p>
      <w:pPr>
        <w:widowControl/>
        <w:spacing w:after="50" w:line="247" w:lineRule="auto"/>
        <w:ind w:left="397" w:hanging="397" w:right="0"/>
        <w:jc w:val="both"/>
      </w:pPr>
      <w:r>
        <w:rPr>
          <w:rFonts w:ascii="Times New Roman" w:hAnsi="Times New Roman" w:eastAsia="Times New Roman"/>
          <w:sz w:val="23"/>
        </w:rPr>
        <w:t>2. Өрт сөндіру ұнтағы мен қолданылатын материалдар өрт сөндіргіштердің мақсатына сәйкес келуге тиіс. Олардың сапасы мен міндетті талаптарға сәйкестігін растайтын құжаттар болуы тиіс.</w:t>
      </w:r>
    </w:p>
    <w:p>
      <w:pPr>
        <w:widowControl/>
        <w:spacing w:after="50" w:line="247" w:lineRule="auto"/>
        <w:ind w:left="397" w:hanging="397" w:right="0"/>
        <w:jc w:val="both"/>
      </w:pPr>
      <w:r>
        <w:rPr>
          <w:rFonts w:ascii="Times New Roman" w:hAnsi="Times New Roman" w:eastAsia="Times New Roman"/>
          <w:sz w:val="23"/>
        </w:rPr>
        <w:t>3. Өрт сөндіргіштерді Тапсырыс берушіден әкету, тиеу, тасымалдау, түсіру және көрсетілген мекенжайға қайтару Орындаушының күшімен және есебінен жүзеге асырылады.</w:t>
      </w:r>
    </w:p>
    <w:p>
      <w:pPr>
        <w:widowControl/>
        <w:spacing w:after="50" w:line="247" w:lineRule="auto"/>
        <w:ind w:left="397" w:hanging="397" w:right="0"/>
        <w:jc w:val="both"/>
      </w:pPr>
      <w:r>
        <w:rPr>
          <w:rFonts w:ascii="Times New Roman" w:hAnsi="Times New Roman" w:eastAsia="Times New Roman"/>
          <w:sz w:val="23"/>
        </w:rPr>
        <w:t>4. Өрт сөндіргіштерді Орындаушыға беру және Тапсырыс берушіге қайтару кезінде олардың саны, маркасы және бар болса зауыттық нөмірлері көрсетілген қабылдау-тапсыру актілері ресімделеді.</w:t>
      </w:r>
    </w:p>
    <w:p>
      <w:pPr>
        <w:widowControl/>
        <w:spacing w:after="50" w:line="247" w:lineRule="auto"/>
        <w:ind w:left="397" w:hanging="397" w:right="0"/>
        <w:jc w:val="both"/>
      </w:pPr>
      <w:r>
        <w:rPr>
          <w:rFonts w:ascii="Times New Roman" w:hAnsi="Times New Roman" w:eastAsia="Times New Roman"/>
          <w:sz w:val="23"/>
        </w:rPr>
        <w:t>5. Орындаушы қабылданған өрт сөндіргіштер Тапсырыс берушіге қайтарылғанға дейін олардың сақталуына жауапты болады.</w:t>
      </w:r>
    </w:p>
    <w:p>
      <w:pPr>
        <w:pStyle w:val="Heading1"/>
      </w:pPr>
      <w:r>
        <w:rPr>
          <w:rFonts w:ascii="Times New Roman" w:hAnsi="Times New Roman" w:eastAsia="Times New Roman"/>
          <w:b/>
          <w:sz w:val="24"/>
        </w:rPr>
        <w:t>6. Нәтижеге қойылатын талаптар</w:t>
      </w:r>
    </w:p>
    <w:p>
      <w:pPr>
        <w:keepNext w:val="0"/>
        <w:widowControl/>
        <w:spacing w:line="252" w:lineRule="auto" w:before="0" w:after="60"/>
        <w:ind w:firstLine="709"/>
        <w:jc w:val="both"/>
      </w:pPr>
      <w:r>
        <w:rPr>
          <w:rFonts w:ascii="Times New Roman" w:hAnsi="Times New Roman" w:eastAsia="Times New Roman"/>
          <w:b w:val="0"/>
          <w:sz w:val="23"/>
        </w:rPr>
        <w:t>Қызмет көрсетілгеннен кейін қабылданатын әрбір өрт сөндіргіш мынадай талаптарға сәйкес келуге тиіс:</w:t>
      </w:r>
    </w:p>
    <w:p>
      <w:pPr>
        <w:widowControl/>
        <w:spacing w:after="50" w:line="247" w:lineRule="auto"/>
        <w:ind w:left="397" w:hanging="397" w:right="0"/>
        <w:jc w:val="both"/>
      </w:pPr>
      <w:r>
        <w:rPr>
          <w:rFonts w:ascii="Times New Roman" w:hAnsi="Times New Roman" w:eastAsia="Times New Roman"/>
          <w:sz w:val="23"/>
        </w:rPr>
        <w:t>1. Корпус пен тораптарда қауіпсіз пайдалануға кедергі келтіретін зақымдар жоқ.</w:t>
      </w:r>
    </w:p>
    <w:p>
      <w:pPr>
        <w:widowControl/>
        <w:spacing w:after="50" w:line="247" w:lineRule="auto"/>
        <w:ind w:left="397" w:hanging="397" w:right="0"/>
        <w:jc w:val="both"/>
      </w:pPr>
      <w:r>
        <w:rPr>
          <w:rFonts w:ascii="Times New Roman" w:hAnsi="Times New Roman" w:eastAsia="Times New Roman"/>
          <w:sz w:val="23"/>
        </w:rPr>
        <w:t>2. Өрт сөндіргіш дайындаушы белгілеген мөлшерде үйлесімді ұнтақпен толық толтырылған.</w:t>
      </w:r>
    </w:p>
    <w:p>
      <w:pPr>
        <w:widowControl/>
        <w:spacing w:after="50" w:line="247" w:lineRule="auto"/>
        <w:ind w:left="397" w:hanging="397" w:right="0"/>
        <w:jc w:val="both"/>
      </w:pPr>
      <w:r>
        <w:rPr>
          <w:rFonts w:ascii="Times New Roman" w:hAnsi="Times New Roman" w:eastAsia="Times New Roman"/>
          <w:sz w:val="23"/>
        </w:rPr>
        <w:t>3. Жұмыс қысымы дайындаушының құжаттамасына сәйкес келеді; жарамды қысым индикаторының тілі жұмыс аймағында орналасқан.</w:t>
      </w:r>
    </w:p>
    <w:p>
      <w:pPr>
        <w:widowControl/>
        <w:spacing w:after="50" w:line="247" w:lineRule="auto"/>
        <w:ind w:left="397" w:hanging="397" w:right="0"/>
        <w:jc w:val="both"/>
      </w:pPr>
      <w:r>
        <w:rPr>
          <w:rFonts w:ascii="Times New Roman" w:hAnsi="Times New Roman" w:eastAsia="Times New Roman"/>
          <w:sz w:val="23"/>
        </w:rPr>
        <w:t>4. Ығыстырушы газдың ағып кетуі жоқ.</w:t>
      </w:r>
    </w:p>
    <w:p>
      <w:pPr>
        <w:widowControl/>
        <w:spacing w:after="50" w:line="247" w:lineRule="auto"/>
        <w:ind w:left="397" w:hanging="397" w:right="0"/>
        <w:jc w:val="both"/>
      </w:pPr>
      <w:r>
        <w:rPr>
          <w:rFonts w:ascii="Times New Roman" w:hAnsi="Times New Roman" w:eastAsia="Times New Roman"/>
          <w:sz w:val="23"/>
        </w:rPr>
        <w:t>5. Бекіту-іске қосу құрылғысы, жең немесе саптама жарамды және сенімді бекітілген.</w:t>
      </w:r>
    </w:p>
    <w:p>
      <w:pPr>
        <w:widowControl/>
        <w:spacing w:after="50" w:line="247" w:lineRule="auto"/>
        <w:ind w:left="397" w:hanging="397" w:right="0"/>
        <w:jc w:val="both"/>
      </w:pPr>
      <w:r>
        <w:rPr>
          <w:rFonts w:ascii="Times New Roman" w:hAnsi="Times New Roman" w:eastAsia="Times New Roman"/>
          <w:sz w:val="23"/>
        </w:rPr>
        <w:t>6. Сақтандырғыш сұққыш пен пломба орнатылған.</w:t>
      </w:r>
    </w:p>
    <w:p>
      <w:pPr>
        <w:widowControl/>
        <w:spacing w:after="50" w:line="247" w:lineRule="auto"/>
        <w:ind w:left="397" w:hanging="397" w:right="0"/>
        <w:jc w:val="both"/>
      </w:pPr>
      <w:r>
        <w:rPr>
          <w:rFonts w:ascii="Times New Roman" w:hAnsi="Times New Roman" w:eastAsia="Times New Roman"/>
          <w:sz w:val="23"/>
        </w:rPr>
        <w:t>7. Қызмет көрсету күні, орындалған жұмыстардың түрі, Орындаушының атауы және келесі жоспарлы қызмет көрсету немесе қайта зарядтау күні көрсетілген оқуға жарамды сервистік таңбалау салынған.</w:t>
      </w:r>
    </w:p>
    <w:p>
      <w:pPr>
        <w:widowControl/>
        <w:spacing w:after="50" w:line="247" w:lineRule="auto"/>
        <w:ind w:left="397" w:hanging="397" w:right="0"/>
        <w:jc w:val="both"/>
      </w:pPr>
      <w:r>
        <w:rPr>
          <w:rFonts w:ascii="Times New Roman" w:hAnsi="Times New Roman" w:eastAsia="Times New Roman"/>
          <w:sz w:val="23"/>
        </w:rPr>
        <w:t>8. Өрт сөндіргішті Орындаушыға беру кезінде болған және оқуға жарамды зауыттық таңбалау мен қолдану жөніндегі нұсқаулық сақталған және бұрынғыдай оқуға жарамды.</w:t>
      </w:r>
    </w:p>
    <w:p>
      <w:pPr>
        <w:pStyle w:val="Heading1"/>
      </w:pPr>
      <w:r>
        <w:rPr>
          <w:rFonts w:ascii="Times New Roman" w:hAnsi="Times New Roman" w:eastAsia="Times New Roman"/>
          <w:b/>
          <w:sz w:val="24"/>
        </w:rPr>
        <w:t>7. Қызмет нәтижелері бойынша құжаттар</w:t>
      </w:r>
    </w:p>
    <w:p>
      <w:pPr>
        <w:keepNext w:val="0"/>
        <w:widowControl/>
        <w:spacing w:line="252" w:lineRule="auto" w:before="0" w:after="60"/>
        <w:ind w:firstLine="709"/>
        <w:jc w:val="both"/>
      </w:pPr>
      <w:r>
        <w:rPr>
          <w:rFonts w:ascii="Times New Roman" w:hAnsi="Times New Roman" w:eastAsia="Times New Roman"/>
          <w:b w:val="0"/>
          <w:sz w:val="23"/>
        </w:rPr>
        <w:t>Орындаушы Тапсырыс берушіге мыналарды береді:</w:t>
      </w:r>
    </w:p>
    <w:p>
      <w:pPr>
        <w:widowControl/>
        <w:spacing w:after="50" w:line="247" w:lineRule="auto"/>
        <w:ind w:left="397" w:hanging="397" w:right="0"/>
        <w:jc w:val="both"/>
      </w:pPr>
      <w:r>
        <w:rPr>
          <w:rFonts w:ascii="Times New Roman" w:hAnsi="Times New Roman" w:eastAsia="Times New Roman"/>
          <w:sz w:val="23"/>
        </w:rPr>
        <w:t>1. Көрсетілген қызметтер актісі, онда нақты қызмет көрсетілген өрт сөндіргіштердің саны жазылады.</w:t>
      </w:r>
    </w:p>
    <w:p>
      <w:pPr>
        <w:widowControl/>
        <w:spacing w:after="50" w:line="247" w:lineRule="auto"/>
        <w:ind w:left="397" w:hanging="397" w:right="0"/>
        <w:jc w:val="both"/>
      </w:pPr>
      <w:r>
        <w:rPr>
          <w:rFonts w:ascii="Times New Roman" w:hAnsi="Times New Roman" w:eastAsia="Times New Roman"/>
          <w:sz w:val="23"/>
        </w:rPr>
        <w:t>2. Өрт сөндіргіштерді қайтару актісі.</w:t>
      </w:r>
    </w:p>
    <w:p>
      <w:pPr>
        <w:widowControl/>
        <w:spacing w:after="50" w:line="247" w:lineRule="auto"/>
        <w:ind w:left="397" w:hanging="397" w:right="0"/>
        <w:jc w:val="both"/>
      </w:pPr>
      <w:r>
        <w:rPr>
          <w:rFonts w:ascii="Times New Roman" w:hAnsi="Times New Roman" w:eastAsia="Times New Roman"/>
          <w:sz w:val="23"/>
        </w:rPr>
        <w:t>3. Әрбір бірлік бойынша маркасы, бар болса зауыттық нөмірі, жұмыстардың күні мен түрі, өрт сөндіру ұнтағының маркасы, тексеру нәтижелері, келесі қызмет көрсету немесе қайта зарядтау күні және Орындаушы туралы мәліметтер көрсетілген техникалық қызмет көрсету ведомосы немесе журналы.</w:t>
      </w:r>
    </w:p>
    <w:p>
      <w:pPr>
        <w:widowControl/>
        <w:spacing w:after="50" w:line="247" w:lineRule="auto"/>
        <w:ind w:left="397" w:hanging="397" w:right="0"/>
        <w:jc w:val="both"/>
      </w:pPr>
      <w:r>
        <w:rPr>
          <w:rFonts w:ascii="Times New Roman" w:hAnsi="Times New Roman" w:eastAsia="Times New Roman"/>
          <w:sz w:val="23"/>
        </w:rPr>
        <w:t>4. Техникалық қызмет көрсету және қайта зарядтау жұмыстарын қауіпсіз орындау мүмкін болмайтын әрбір бірлікке ақау актісі.</w:t>
      </w:r>
    </w:p>
    <w:p>
      <w:pPr>
        <w:widowControl/>
        <w:spacing w:after="50" w:line="247" w:lineRule="auto"/>
        <w:ind w:left="397" w:hanging="397" w:right="0"/>
        <w:jc w:val="both"/>
      </w:pPr>
      <w:r>
        <w:rPr>
          <w:rFonts w:ascii="Times New Roman" w:hAnsi="Times New Roman" w:eastAsia="Times New Roman"/>
          <w:sz w:val="23"/>
        </w:rPr>
        <w:t>5. Қолданылған өрт сөндіру ұнтағының сапасы мен міндетті талаптарға сәйкестігін растайтын құжаттардың көшірмелері не олардың атауы, нөмірі, берілген күні және берген ұйым туралы мәліметтер.</w:t>
      </w:r>
    </w:p>
    <w:p>
      <w:pPr>
        <w:pStyle w:val="Heading1"/>
      </w:pPr>
      <w:r>
        <w:rPr>
          <w:rFonts w:ascii="Times New Roman" w:hAnsi="Times New Roman" w:eastAsia="Times New Roman"/>
          <w:b/>
          <w:sz w:val="24"/>
        </w:rPr>
        <w:t>8. Қабылдау тәртібі</w:t>
      </w:r>
    </w:p>
    <w:p>
      <w:pPr>
        <w:keepNext w:val="0"/>
        <w:widowControl/>
        <w:spacing w:line="252" w:lineRule="auto" w:before="0" w:after="60"/>
        <w:ind w:firstLine="709"/>
        <w:jc w:val="both"/>
      </w:pPr>
      <w:r>
        <w:rPr>
          <w:rFonts w:ascii="Times New Roman" w:hAnsi="Times New Roman" w:eastAsia="Times New Roman"/>
          <w:b w:val="0"/>
          <w:sz w:val="23"/>
        </w:rPr>
        <w:t>Қабылдау кезінде Тапсырыс беруші:</w:t>
      </w:r>
    </w:p>
    <w:p>
      <w:pPr>
        <w:widowControl/>
        <w:spacing w:after="50" w:line="247" w:lineRule="auto"/>
        <w:ind w:left="397" w:hanging="397" w:right="0"/>
        <w:jc w:val="both"/>
      </w:pPr>
      <w:r>
        <w:rPr>
          <w:rFonts w:ascii="Times New Roman" w:hAnsi="Times New Roman" w:eastAsia="Times New Roman"/>
          <w:sz w:val="23"/>
        </w:rPr>
        <w:t>1. Өрт сөндіргіштердің нақты санын, маркаларын және зауыттық нөмірлерін қабылдау-тапсыру актілерімен салыстырады.</w:t>
      </w:r>
    </w:p>
    <w:p>
      <w:pPr>
        <w:widowControl/>
        <w:spacing w:after="50" w:line="247" w:lineRule="auto"/>
        <w:ind w:left="397" w:hanging="397" w:right="0"/>
        <w:jc w:val="both"/>
      </w:pPr>
      <w:r>
        <w:rPr>
          <w:rFonts w:ascii="Times New Roman" w:hAnsi="Times New Roman" w:eastAsia="Times New Roman"/>
          <w:sz w:val="23"/>
        </w:rPr>
        <w:t>2. Әрбір өрт сөндіргіштің жиынтықтылығын, корпусы мен тораптарының бүтіндігін, сақтандырғыш сұққышының, пломбасының және сервистік таңбалауының болуын тексереді.</w:t>
      </w:r>
    </w:p>
    <w:p>
      <w:pPr>
        <w:widowControl/>
        <w:spacing w:after="50" w:line="247" w:lineRule="auto"/>
        <w:ind w:left="397" w:hanging="397" w:right="0"/>
        <w:jc w:val="both"/>
      </w:pPr>
      <w:r>
        <w:rPr>
          <w:rFonts w:ascii="Times New Roman" w:hAnsi="Times New Roman" w:eastAsia="Times New Roman"/>
          <w:sz w:val="23"/>
        </w:rPr>
        <w:t>3. Қысым индикаторы тілінің жұмыс аймағында орналасуын тексереді.</w:t>
      </w:r>
    </w:p>
    <w:p>
      <w:pPr>
        <w:widowControl/>
        <w:spacing w:after="50" w:line="247" w:lineRule="auto"/>
        <w:ind w:left="397" w:hanging="397" w:right="0"/>
        <w:jc w:val="both"/>
      </w:pPr>
      <w:r>
        <w:rPr>
          <w:rFonts w:ascii="Times New Roman" w:hAnsi="Times New Roman" w:eastAsia="Times New Roman"/>
          <w:sz w:val="23"/>
        </w:rPr>
        <w:t>4. 7-бөлімде көзделген құжаттардың болуын тексереді.</w:t>
      </w:r>
    </w:p>
    <w:p>
      <w:pPr>
        <w:widowControl/>
        <w:spacing w:after="50" w:line="247" w:lineRule="auto"/>
        <w:ind w:left="397" w:hanging="397" w:right="0"/>
        <w:jc w:val="both"/>
      </w:pPr>
      <w:r>
        <w:rPr>
          <w:rFonts w:ascii="Times New Roman" w:hAnsi="Times New Roman" w:eastAsia="Times New Roman"/>
          <w:sz w:val="23"/>
        </w:rPr>
        <w:t>5. Ақау актілерімен қайтарылған өрт сөндіргіштерді бөлек есепке алады.</w:t>
      </w:r>
    </w:p>
    <w:p>
      <w:pPr>
        <w:keepNext w:val="0"/>
        <w:widowControl/>
        <w:spacing w:line="252" w:lineRule="auto" w:before="0" w:after="60"/>
        <w:ind w:firstLine="709"/>
        <w:jc w:val="both"/>
      </w:pPr>
      <w:r>
        <w:rPr>
          <w:rFonts w:ascii="Times New Roman" w:hAnsi="Times New Roman" w:eastAsia="Times New Roman"/>
          <w:b w:val="0"/>
          <w:sz w:val="23"/>
        </w:rPr>
        <w:t>Қызмет осы техникалық ерекшелікке сәйкес келетін, нақты қызмет көрсетілген өрт сөндіргіштер бойынша қабылданады. Көрсетілген қызметтің осы техникалық ерекшелік талаптарына сәйкессіздігі актімен тіркеледі және Орындаушы оны Тапсырыс берушінің хабарламасын алған күннен бастап 5 жұмыс күні ішінде өз есебінен жояды.</w:t>
      </w:r>
    </w:p>
    <w:p>
      <w:pPr>
        <w:pStyle w:val="Heading1"/>
      </w:pPr>
      <w:r>
        <w:rPr>
          <w:rFonts w:ascii="Times New Roman" w:hAnsi="Times New Roman" w:eastAsia="Times New Roman"/>
          <w:b/>
          <w:sz w:val="24"/>
        </w:rPr>
        <w:t>9. Кепілдік</w:t>
      </w:r>
    </w:p>
    <w:p>
      <w:pPr>
        <w:keepNext w:val="0"/>
        <w:widowControl/>
        <w:spacing w:line="252" w:lineRule="auto" w:before="0" w:after="60"/>
        <w:ind w:firstLine="709"/>
        <w:jc w:val="both"/>
      </w:pPr>
      <w:r>
        <w:rPr>
          <w:rFonts w:ascii="Times New Roman" w:hAnsi="Times New Roman" w:eastAsia="Times New Roman"/>
          <w:b w:val="0"/>
          <w:sz w:val="23"/>
        </w:rPr>
        <w:t>Орындалған жұмыстарға және Орындаушы орнатқан шығыс материалдарына кепілдік мерзімі көрсетілген қызметтер актісіне қол қойылған күннен бастап кемінде 12 айды құрайды.</w:t>
      </w:r>
    </w:p>
    <w:p>
      <w:pPr>
        <w:keepNext w:val="0"/>
        <w:widowControl/>
        <w:spacing w:line="252" w:lineRule="auto" w:before="0" w:after="60"/>
        <w:ind w:firstLine="709"/>
        <w:jc w:val="both"/>
      </w:pPr>
      <w:r>
        <w:rPr>
          <w:rFonts w:ascii="Times New Roman" w:hAnsi="Times New Roman" w:eastAsia="Times New Roman"/>
          <w:b w:val="0"/>
          <w:sz w:val="23"/>
        </w:rPr>
        <w:t>Кепілдік мерзімі ішінде Орындаушы жұмыстарды тиісінше орындамаудан немесе сапасыз материалдарды қолданудан туындаған кемшіліктерді Тапсырыс берушінің жазбаша хабарламасын алған күннен бастап 5 жұмыс күні ішінде қосымша ақысыз жояды.</w:t>
      </w:r>
    </w:p>
    <w:p>
      <w:pPr>
        <w:keepNext w:val="0"/>
        <w:widowControl/>
        <w:spacing w:line="252" w:lineRule="auto" w:before="0" w:after="60"/>
        <w:ind w:firstLine="709"/>
        <w:jc w:val="both"/>
      </w:pPr>
      <w:r>
        <w:rPr>
          <w:rFonts w:ascii="Times New Roman" w:hAnsi="Times New Roman" w:eastAsia="Times New Roman"/>
          <w:b w:val="0"/>
          <w:sz w:val="23"/>
        </w:rPr>
        <w:t>Кепілдік қабылдаудан кейін өрт сөндіргішті қолдану, пайдалану шарттарын бұзу, механикалық әсер ету немесе үшінші тұлғалардың араласуы салдарынан туындаған зақымдарға қолданылмайды.</w:t>
      </w:r>
    </w:p>
    <w:p>
      <w:pPr>
        <w:pStyle w:val="Heading1"/>
      </w:pPr>
      <w:r>
        <w:rPr>
          <w:rFonts w:ascii="Times New Roman" w:hAnsi="Times New Roman" w:eastAsia="Times New Roman"/>
          <w:b/>
          <w:sz w:val="24"/>
        </w:rPr>
        <w:t>10. Қабылдаудан бас тарту негіздері</w:t>
      </w:r>
    </w:p>
    <w:p>
      <w:pPr>
        <w:keepNext w:val="0"/>
        <w:widowControl/>
        <w:spacing w:line="252" w:lineRule="auto" w:before="0" w:after="60"/>
        <w:ind w:firstLine="709"/>
        <w:jc w:val="both"/>
      </w:pPr>
      <w:r>
        <w:rPr>
          <w:rFonts w:ascii="Times New Roman" w:hAnsi="Times New Roman" w:eastAsia="Times New Roman"/>
          <w:b w:val="0"/>
          <w:sz w:val="23"/>
        </w:rPr>
        <w:t>Тиісті өрт сөндіргіш бойынша қызмет мына мән-жайлардың кемінде біреуі болған кезде қабылданбайды:</w:t>
      </w:r>
    </w:p>
    <w:p>
      <w:pPr>
        <w:widowControl/>
        <w:spacing w:after="50" w:line="247" w:lineRule="auto"/>
        <w:ind w:left="397" w:hanging="397" w:right="0"/>
        <w:jc w:val="both"/>
      </w:pPr>
      <w:r>
        <w:rPr>
          <w:rFonts w:ascii="Times New Roman" w:hAnsi="Times New Roman" w:eastAsia="Times New Roman"/>
          <w:sz w:val="23"/>
        </w:rPr>
        <w:t>– тиісті өрт сөндіргіш үшін 3-бөлімде көзделген жұмыстар орындалмаған;</w:t>
      </w:r>
    </w:p>
    <w:p>
      <w:pPr>
        <w:widowControl/>
        <w:spacing w:after="50" w:line="247" w:lineRule="auto"/>
        <w:ind w:left="397" w:hanging="397" w:right="0"/>
        <w:jc w:val="both"/>
      </w:pPr>
      <w:r>
        <w:rPr>
          <w:rFonts w:ascii="Times New Roman" w:hAnsi="Times New Roman" w:eastAsia="Times New Roman"/>
          <w:sz w:val="23"/>
        </w:rPr>
        <w:t>– қызмет көрсету нәтижелері бойынша міндетті құжаттар жоқ;</w:t>
      </w:r>
    </w:p>
    <w:p>
      <w:pPr>
        <w:widowControl/>
        <w:spacing w:after="50" w:line="247" w:lineRule="auto"/>
        <w:ind w:left="397" w:hanging="397" w:right="0"/>
        <w:jc w:val="both"/>
      </w:pPr>
      <w:r>
        <w:rPr>
          <w:rFonts w:ascii="Times New Roman" w:hAnsi="Times New Roman" w:eastAsia="Times New Roman"/>
          <w:sz w:val="23"/>
        </w:rPr>
        <w:t>– жұмыс қысымы дайындаушының құжаттамасына сәйкес келмейді немесе қысым индикаторының тілі жұмыс аймағынан тыс орналасқан;</w:t>
      </w:r>
    </w:p>
    <w:p>
      <w:pPr>
        <w:widowControl/>
        <w:spacing w:after="50" w:line="247" w:lineRule="auto"/>
        <w:ind w:left="397" w:hanging="397" w:right="0"/>
        <w:jc w:val="both"/>
      </w:pPr>
      <w:r>
        <w:rPr>
          <w:rFonts w:ascii="Times New Roman" w:hAnsi="Times New Roman" w:eastAsia="Times New Roman"/>
          <w:sz w:val="23"/>
        </w:rPr>
        <w:t>– конструкцияда көзделген тораптар, сақтандырғыш сұққыш, пломба немесе сервистік таңбалау жоқ не жарамсыз;</w:t>
      </w:r>
    </w:p>
    <w:p>
      <w:pPr>
        <w:widowControl/>
        <w:spacing w:after="50" w:line="247" w:lineRule="auto"/>
        <w:ind w:left="397" w:hanging="397" w:right="0"/>
        <w:jc w:val="both"/>
      </w:pPr>
      <w:r>
        <w:rPr>
          <w:rFonts w:ascii="Times New Roman" w:hAnsi="Times New Roman" w:eastAsia="Times New Roman"/>
          <w:sz w:val="23"/>
        </w:rPr>
        <w:t>– газдың ағып кетуі, корпустың зақымдануы немесе қауіпсіз пайдалануға кедергі келтіретін өзге жай-күй анықталған;</w:t>
      </w:r>
    </w:p>
    <w:p>
      <w:pPr>
        <w:widowControl/>
        <w:spacing w:after="50" w:line="247" w:lineRule="auto"/>
        <w:ind w:left="397" w:hanging="397" w:right="0"/>
        <w:jc w:val="both"/>
      </w:pPr>
      <w:r>
        <w:rPr>
          <w:rFonts w:ascii="Times New Roman" w:hAnsi="Times New Roman" w:eastAsia="Times New Roman"/>
          <w:sz w:val="23"/>
        </w:rPr>
        <w:t>– қолданылған өрт сөндіру ұнтағы өрт сөндіргіштің мақсатына сәйкес келмейді немесе оның сапасы расталмаған;</w:t>
      </w:r>
    </w:p>
    <w:p>
      <w:pPr>
        <w:widowControl/>
        <w:spacing w:after="50" w:line="247" w:lineRule="auto"/>
        <w:ind w:left="397" w:hanging="397" w:right="0"/>
        <w:jc w:val="both"/>
      </w:pPr>
      <w:r>
        <w:rPr>
          <w:rFonts w:ascii="Times New Roman" w:hAnsi="Times New Roman" w:eastAsia="Times New Roman"/>
          <w:sz w:val="23"/>
        </w:rPr>
        <w:t>– Орындаушының әрекеттері салдарынан зауыттық таңбалау немесе қолдану жөніндегі нұсқаулық жоғалған не оқуға жарамсыз болған;</w:t>
      </w:r>
    </w:p>
    <w:p>
      <w:pPr>
        <w:widowControl/>
        <w:spacing w:after="50" w:line="247" w:lineRule="auto"/>
        <w:ind w:left="397" w:hanging="397" w:right="0"/>
        <w:jc w:val="both"/>
      </w:pPr>
      <w:r>
        <w:rPr>
          <w:rFonts w:ascii="Times New Roman" w:hAnsi="Times New Roman" w:eastAsia="Times New Roman"/>
          <w:sz w:val="23"/>
        </w:rPr>
        <w:t>– осы техникалық ерекшеліктің міндетті талаптарына өзге де сәйкессіздік анықталған.</w:t>
      </w:r>
    </w:p>
    <w:sectPr w:rsidR="00FC693F" w:rsidRPr="0006063C" w:rsidSect="00034616">
      <w:footerReference w:type="default" r:id="rId9"/>
      <w:pgSz w:w="11906" w:h="16838"/>
      <w:pgMar w:top="850" w:right="850" w:bottom="850" w:left="1134"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b w:val="0"/>
        <w:i w:val="0"/>
        <w:color w:val="000000"/>
        <w:sz w:val="18"/>
      </w:rPr>
      <w:t xml:space="preserve">Стр. </w:t>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line="252" w:lineRule="auto"/>
      <w:ind w:firstLine="709"/>
      <w:jc w:val="both"/>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val="0"/>
      <w:spacing w:before="160" w:after="60"/>
      <w:outlineLvl w:val="0"/>
    </w:pPr>
    <w:rPr>
      <w:rFonts w:asciiTheme="majorHAnsi" w:eastAsiaTheme="majorEastAsia" w:hAnsiTheme="majorHAnsi" w:cstheme="majorBidi" w:ascii="Times New Roman" w:hAnsi="Times New Roman" w:eastAsia="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ascii="Times New Roman" w:hAnsi="Times New Roman" w:eastAsia="Times New Roman"/>
      <w:b/>
      <w:bCs/>
      <w:color w:val="000000"/>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before="0"/>
      <w:contextualSpacing/>
      <w:jc w:val="center"/>
    </w:pPr>
    <w:rPr>
      <w:rFonts w:asciiTheme="majorHAnsi" w:eastAsiaTheme="majorEastAsia" w:hAnsiTheme="majorHAnsi" w:cstheme="majorBidi" w:ascii="Times New Roman" w:hAnsi="Times New Roman" w:eastAsia="Times New Roman"/>
      <w:b/>
      <w:color w:val="000000"/>
      <w:spacing w:val="5"/>
      <w:kern w:val="28"/>
      <w:sz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ОП-5 ұнтақты өрт сөндіргіштеріне техникалық қызмет көрсету және оларды қайта зарядтау жөніндегі техникалық ерекшелік</dc:title>
  <dc:subject>Техническая спецификация</dc:subject>
  <dc:creator>РГП «НЦТП»</dc:creator>
  <cp:keywords/>
  <dc:description>generated by python-docx</dc:description>
  <cp:lastModifiedBy/>
  <cp:revision>1</cp:revision>
  <dcterms:created xsi:type="dcterms:W3CDTF">2013-12-23T23:15:00Z</dcterms:created>
  <dcterms:modified xsi:type="dcterms:W3CDTF">2013-12-23T23:15:00Z</dcterms:modified>
  <cp:category/>
</cp:coreProperties>
</file>