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9" w:before="0" w:after="0"/>
        <w:ind w:hanging="0" w:left="0" w:right="5"/>
        <w:jc w:val="right"/>
        <w:rPr>
          <w:b/>
          <w:bCs/>
          <w:lang w:val="ru-RU"/>
        </w:rPr>
      </w:pPr>
      <w:r>
        <w:rPr>
          <w:b/>
          <w:bCs/>
          <w:lang w:val="ru-RU"/>
        </w:rPr>
        <w:t>Приложение 2</w:t>
      </w:r>
    </w:p>
    <w:p>
      <w:pPr>
        <w:pStyle w:val="Normal"/>
        <w:spacing w:lineRule="auto" w:line="259" w:before="0" w:after="0"/>
        <w:ind w:hanging="0" w:left="0" w:right="5"/>
        <w:jc w:val="center"/>
        <w:rPr>
          <w:lang w:val="kk-KZ"/>
        </w:rPr>
      </w:pPr>
      <w:r>
        <w:rPr>
          <w:lang w:val="kk-KZ"/>
        </w:rPr>
      </w:r>
    </w:p>
    <w:p>
      <w:pPr>
        <w:pStyle w:val="Normal"/>
        <w:spacing w:lineRule="auto" w:line="259" w:before="0" w:after="0"/>
        <w:ind w:hanging="0" w:left="0" w:right="5"/>
        <w:jc w:val="center"/>
        <w:rPr>
          <w:lang w:val="kk-KZ"/>
        </w:rPr>
      </w:pPr>
      <w:r>
        <w:rPr>
          <w:b/>
          <w:sz w:val="28"/>
          <w:lang w:val="kk-KZ"/>
        </w:rPr>
        <w:t>ТЕХНИЧЕСКАЯ СПЕЦИФИКАЦИЯ</w:t>
      </w:r>
    </w:p>
    <w:p>
      <w:pPr>
        <w:pStyle w:val="Normal"/>
        <w:jc w:val="center"/>
        <w:rPr>
          <w:b/>
          <w:bCs/>
          <w:sz w:val="28"/>
          <w:szCs w:val="28"/>
        </w:rPr>
      </w:pPr>
      <w:r>
        <w:rPr>
          <w:b/>
          <w:bCs/>
          <w:sz w:val="28"/>
          <w:szCs w:val="28"/>
        </w:rPr>
        <w:t>По обязательному страхованию работников от несчастных случаев при исполнении им трудовых (служебных) обязанностей на период с 202</w:t>
      </w:r>
      <w:r>
        <w:rPr>
          <w:rFonts w:eastAsia="Times New Roman" w:cs="Times New Roman"/>
          <w:b/>
          <w:bCs/>
          <w:color w:val="000000"/>
          <w:kern w:val="0"/>
          <w:sz w:val="28"/>
          <w:szCs w:val="28"/>
          <w:lang w:val="en-US" w:eastAsia="ru-RU" w:bidi="ar-SA"/>
        </w:rPr>
        <w:t>6</w:t>
      </w:r>
      <w:r>
        <w:rPr>
          <w:b/>
          <w:bCs/>
          <w:sz w:val="28"/>
          <w:szCs w:val="28"/>
        </w:rPr>
        <w:t>- 202</w:t>
      </w:r>
      <w:r>
        <w:rPr>
          <w:rFonts w:eastAsia="Times New Roman" w:cs="Times New Roman"/>
          <w:b/>
          <w:bCs/>
          <w:color w:val="000000"/>
          <w:kern w:val="0"/>
          <w:sz w:val="28"/>
          <w:szCs w:val="28"/>
          <w:lang w:val="en-US" w:eastAsia="ru-RU" w:bidi="ar-SA"/>
        </w:rPr>
        <w:t>7</w:t>
      </w:r>
      <w:r>
        <w:rPr>
          <w:b/>
          <w:bCs/>
          <w:sz w:val="28"/>
          <w:szCs w:val="28"/>
        </w:rPr>
        <w:t xml:space="preserve"> г.</w:t>
      </w:r>
    </w:p>
    <w:p>
      <w:pPr>
        <w:pStyle w:val="Normal"/>
        <w:jc w:val="center"/>
        <w:rPr>
          <w:b/>
          <w:bCs/>
        </w:rPr>
      </w:pPr>
      <w:r>
        <w:rPr>
          <w:b/>
          <w:bCs/>
        </w:rPr>
      </w:r>
    </w:p>
    <w:p>
      <w:pPr>
        <w:pStyle w:val="Normal"/>
        <w:spacing w:lineRule="auto" w:line="240" w:before="0" w:after="0"/>
        <w:ind w:firstLine="708" w:left="0"/>
        <w:rPr>
          <w:rFonts w:eastAsia="Calibri"/>
          <w:szCs w:val="24"/>
          <w:lang w:val="kk-KZ" w:eastAsia="en-US"/>
        </w:rPr>
      </w:pPr>
      <w:r>
        <w:rPr>
          <w:rFonts w:eastAsia="Calibri"/>
          <w:szCs w:val="24"/>
          <w:lang w:val="kk-KZ" w:eastAsia="en-US"/>
        </w:rPr>
        <w:t>Вид страхования – обязательное страхование работников от несчастных случаев при исполнении ими трудовых (служебных) обязанностей, в соответствии с уставной деятельностью Заказчика.</w:t>
      </w:r>
    </w:p>
    <w:p>
      <w:pPr>
        <w:pStyle w:val="Normal"/>
        <w:spacing w:lineRule="auto" w:line="259" w:before="0" w:after="16"/>
        <w:ind w:hanging="0" w:left="58"/>
        <w:rPr>
          <w:szCs w:val="24"/>
        </w:rPr>
      </w:pPr>
      <w:r>
        <w:rPr>
          <w:rFonts w:eastAsia="Calibri"/>
          <w:szCs w:val="24"/>
          <w:lang w:val="kk-KZ" w:eastAsia="en-US"/>
        </w:rPr>
        <w:t xml:space="preserve">Поставщик должен заключить договор обязательного страхования работника от нечастных случаев согласно Закона РК «Об обязательном страховании работника от несчастных случаев при исполнении им трудовых (служебных) обязанностей». </w:t>
      </w:r>
    </w:p>
    <w:p>
      <w:pPr>
        <w:pStyle w:val="Normal"/>
        <w:spacing w:lineRule="auto" w:line="240" w:before="0" w:after="0"/>
        <w:ind w:hanging="0" w:left="0"/>
        <w:rPr>
          <w:rFonts w:eastAsia="Calibri"/>
          <w:szCs w:val="24"/>
          <w:lang w:val="kk-KZ" w:eastAsia="en-US"/>
        </w:rPr>
      </w:pPr>
      <w:r>
        <w:rPr>
          <w:rFonts w:eastAsia="Calibri"/>
          <w:szCs w:val="24"/>
          <w:lang w:val="kk-KZ" w:eastAsia="en-US"/>
        </w:rPr>
        <w:t>Территория действия Договора – место работы застрахованного, объекты строительства, а также любое другое место, нахождение в котором Застрахованного работника было обусловлено выполнением им трудовых или иных обязанностей, связанных с поручением работодателя (Страхование по Договору страхования) или должностного лица организации Страхователя.</w:t>
      </w:r>
    </w:p>
    <w:p>
      <w:pPr>
        <w:pStyle w:val="Normal"/>
        <w:spacing w:lineRule="auto" w:line="240" w:before="0" w:after="0"/>
        <w:ind w:firstLine="705" w:left="0"/>
        <w:rPr>
          <w:rFonts w:eastAsia="Calibri"/>
          <w:szCs w:val="24"/>
          <w:lang w:val="kk-KZ" w:eastAsia="en-US"/>
        </w:rPr>
      </w:pPr>
      <w:r>
        <w:rPr>
          <w:rFonts w:eastAsia="Calibri"/>
          <w:szCs w:val="24"/>
          <w:lang w:val="kk-KZ" w:eastAsia="en-US"/>
        </w:rPr>
        <w:t>Страховщик обязан:</w:t>
      </w:r>
    </w:p>
    <w:p>
      <w:pPr>
        <w:pStyle w:val="Normal"/>
        <w:spacing w:lineRule="auto" w:line="240" w:before="0" w:after="0"/>
        <w:ind w:firstLine="705" w:left="0"/>
        <w:rPr>
          <w:rFonts w:eastAsia="Calibri"/>
          <w:szCs w:val="24"/>
          <w:lang w:val="kk-KZ" w:eastAsia="en-US"/>
        </w:rPr>
      </w:pPr>
      <w:r>
        <w:rPr>
          <w:rFonts w:eastAsia="Calibri"/>
          <w:szCs w:val="24"/>
          <w:lang w:val="kk-KZ" w:eastAsia="en-US"/>
        </w:rPr>
        <w:t xml:space="preserve">1) Ознакомить Страхователя с условями и разъяснить его права и </w:t>
      </w:r>
      <w:r>
        <w:rPr>
          <w:rFonts w:eastAsia="Calibri"/>
          <w:szCs w:val="24"/>
          <w:lang w:val="ru-RU" w:eastAsia="en-US"/>
        </w:rPr>
        <w:t>обязанности</w:t>
      </w:r>
      <w:r>
        <w:rPr>
          <w:rFonts w:eastAsia="Calibri"/>
          <w:szCs w:val="24"/>
          <w:lang w:val="kk-KZ" w:eastAsia="en-US"/>
        </w:rPr>
        <w:t>;</w:t>
      </w:r>
    </w:p>
    <w:p>
      <w:pPr>
        <w:pStyle w:val="Normal"/>
        <w:spacing w:lineRule="auto" w:line="240" w:before="0" w:after="0"/>
        <w:ind w:firstLine="705" w:left="0"/>
        <w:rPr>
          <w:rFonts w:eastAsia="Calibri"/>
          <w:szCs w:val="24"/>
          <w:lang w:val="kk-KZ" w:eastAsia="en-US"/>
        </w:rPr>
      </w:pPr>
      <w:r>
        <w:rPr>
          <w:rFonts w:eastAsia="Calibri"/>
          <w:szCs w:val="24"/>
          <w:lang w:val="kk-KZ" w:eastAsia="en-US"/>
        </w:rPr>
        <w:t>2) Обеспечить конфиденциальность полученных в результате своей деятельности сведений о Страхователе и Выгодоприобретателе;</w:t>
      </w:r>
    </w:p>
    <w:p>
      <w:pPr>
        <w:pStyle w:val="Normal"/>
        <w:spacing w:lineRule="auto" w:line="240" w:before="0" w:after="0"/>
        <w:ind w:firstLine="705" w:left="0"/>
        <w:rPr>
          <w:rFonts w:eastAsia="Calibri"/>
          <w:szCs w:val="24"/>
          <w:lang w:val="kk-KZ" w:eastAsia="en-US"/>
        </w:rPr>
      </w:pPr>
      <w:r>
        <w:rPr>
          <w:rFonts w:eastAsia="Calibri"/>
          <w:szCs w:val="24"/>
          <w:lang w:val="kk-KZ" w:eastAsia="en-US"/>
        </w:rPr>
        <w:t>3) Возместить Страхователю расходы, произведенные им при страховом случае;</w:t>
      </w:r>
    </w:p>
    <w:p>
      <w:pPr>
        <w:pStyle w:val="Normal"/>
        <w:spacing w:lineRule="auto" w:line="240" w:before="0" w:after="0"/>
        <w:ind w:firstLine="705" w:left="0"/>
        <w:rPr>
          <w:rFonts w:eastAsia="Calibri"/>
          <w:szCs w:val="24"/>
          <w:lang w:val="kk-KZ" w:eastAsia="en-US"/>
        </w:rPr>
      </w:pPr>
      <w:r>
        <w:rPr>
          <w:rFonts w:eastAsia="Calibri"/>
          <w:szCs w:val="24"/>
          <w:lang w:val="kk-KZ" w:eastAsia="en-US"/>
        </w:rPr>
        <w:t xml:space="preserve">4) Надлежащим образом исполнять все  (иные) обязанности, предусмотренные  Законом РК «Об обязательном страховании работника от несчастных случаев при исполнении им трудовых (служебных) обязанностей» от 07 февраля 2005 года № 30 и Трудовым кодексом </w:t>
      </w:r>
      <w:r>
        <w:rPr>
          <w:rFonts w:eastAsia="Calibri"/>
          <w:color w:val="auto"/>
          <w:szCs w:val="24"/>
          <w:lang w:eastAsia="en-US"/>
        </w:rPr>
        <w:t xml:space="preserve">Республики Казахстан </w:t>
      </w:r>
      <w:r>
        <w:rPr>
          <w:rFonts w:eastAsia="Calibri"/>
          <w:color w:val="auto"/>
          <w:szCs w:val="24"/>
          <w:lang w:val="kk-KZ" w:eastAsia="en-US"/>
        </w:rPr>
        <w:t>от 23 ноября 2015 года</w:t>
      </w:r>
      <w:r>
        <w:rPr>
          <w:rFonts w:eastAsia="Calibri"/>
          <w:szCs w:val="24"/>
          <w:lang w:val="kk-KZ" w:eastAsia="en-US"/>
        </w:rPr>
        <w:t xml:space="preserve"> </w:t>
      </w:r>
      <w:r>
        <w:rPr>
          <w:szCs w:val="24"/>
        </w:rPr>
        <w:t>№ 414-V ЗРК</w:t>
      </w:r>
      <w:r>
        <w:rPr>
          <w:rFonts w:eastAsia="Calibri"/>
          <w:szCs w:val="24"/>
          <w:lang w:val="kk-KZ" w:eastAsia="en-US"/>
        </w:rPr>
        <w:t xml:space="preserve"> при заключении и исполнении Договора </w:t>
      </w:r>
      <w:r>
        <w:rPr>
          <w:rFonts w:eastAsia="Calibri"/>
          <w:color w:val="auto"/>
          <w:szCs w:val="24"/>
          <w:lang w:eastAsia="en-US"/>
        </w:rPr>
        <w:t>обязательного страхования работника от несчастных случаев при исполнении им трудовых (служебных) обязанностей</w:t>
      </w:r>
      <w:r>
        <w:rPr>
          <w:rFonts w:eastAsia="Calibri"/>
          <w:szCs w:val="24"/>
          <w:lang w:val="kk-KZ" w:eastAsia="en-US"/>
        </w:rPr>
        <w:t xml:space="preserve">.  </w:t>
      </w:r>
    </w:p>
    <w:p>
      <w:pPr>
        <w:pStyle w:val="Normal"/>
        <w:spacing w:lineRule="auto" w:line="240" w:before="0" w:after="0"/>
        <w:ind w:hanging="0" w:left="0"/>
        <w:rPr>
          <w:rFonts w:eastAsia="Calibri"/>
          <w:color w:val="auto"/>
          <w:szCs w:val="24"/>
          <w:lang w:eastAsia="en-US"/>
        </w:rPr>
      </w:pPr>
      <w:r>
        <w:rPr>
          <w:rFonts w:eastAsia="Calibri"/>
          <w:color w:val="auto"/>
          <w:szCs w:val="24"/>
          <w:lang w:val="kk-KZ" w:eastAsia="en-US"/>
        </w:rPr>
        <w:tab/>
      </w:r>
      <w:r>
        <w:rPr>
          <w:rFonts w:eastAsia="Calibri"/>
          <w:color w:val="auto"/>
          <w:szCs w:val="24"/>
          <w:lang w:eastAsia="en-US"/>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p>
      <w:pPr>
        <w:pStyle w:val="Normal"/>
        <w:spacing w:lineRule="auto" w:line="240" w:before="0" w:after="0"/>
        <w:ind w:firstLine="708" w:left="0"/>
        <w:rPr>
          <w:rFonts w:eastAsia="Calibri"/>
          <w:color w:val="auto"/>
          <w:szCs w:val="24"/>
          <w:lang w:eastAsia="en-US"/>
        </w:rPr>
      </w:pPr>
      <w:r>
        <w:rPr>
          <w:rFonts w:eastAsia="Calibri"/>
          <w:color w:val="auto"/>
          <w:szCs w:val="24"/>
          <w:lang w:eastAsia="en-US"/>
        </w:rPr>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r>
        <w:rPr>
          <w:rFonts w:eastAsia="Calibri"/>
          <w:color w:val="auto"/>
          <w:szCs w:val="24"/>
          <w:lang w:val="kk-KZ" w:eastAsia="en-US"/>
        </w:rPr>
        <w:t>от 23 ноября 2015 года</w:t>
      </w:r>
      <w:r>
        <w:rPr>
          <w:rFonts w:eastAsia="Calibri"/>
          <w:color w:val="auto"/>
          <w:szCs w:val="24"/>
          <w:lang w:eastAsia="en-US"/>
        </w:rPr>
        <w:t>.</w:t>
      </w:r>
    </w:p>
    <w:p>
      <w:pPr>
        <w:pStyle w:val="Normal"/>
        <w:spacing w:lineRule="auto" w:line="240" w:before="0" w:after="0"/>
        <w:ind w:firstLine="708" w:left="0"/>
        <w:rPr>
          <w:rFonts w:eastAsia="Calibri"/>
          <w:color w:val="auto"/>
          <w:szCs w:val="24"/>
          <w:lang w:eastAsia="en-US"/>
        </w:rPr>
      </w:pPr>
      <w:r>
        <w:rPr>
          <w:rFonts w:eastAsia="Calibri"/>
          <w:color w:val="auto"/>
          <w:szCs w:val="24"/>
          <w:lang w:eastAsia="en-US"/>
        </w:rPr>
        <w:t>Определение размера страховой премии и порядок ее уплаты по договору обязательного страхования работника от несчастных случаев (а также порядок применения поправочного коэффициента)  в соответствии с Законом "Об обязательном страховании работника от несчастных случаев при исполнении им трудовых (служебных) обязанностей".</w:t>
      </w:r>
    </w:p>
    <w:p>
      <w:pPr>
        <w:pStyle w:val="Normal"/>
        <w:spacing w:lineRule="auto" w:line="240" w:before="0" w:after="0"/>
        <w:ind w:firstLine="708" w:left="0"/>
        <w:rPr>
          <w:rFonts w:eastAsia="Calibri"/>
          <w:color w:val="auto"/>
          <w:szCs w:val="24"/>
          <w:lang w:eastAsia="en-US"/>
        </w:rPr>
      </w:pPr>
      <w:r>
        <w:rPr>
          <w:rFonts w:eastAsia="Calibri"/>
          <w:color w:val="auto"/>
          <w:szCs w:val="24"/>
          <w:lang w:eastAsia="en-US"/>
        </w:rPr>
      </w:r>
    </w:p>
    <w:p>
      <w:pPr>
        <w:pStyle w:val="Normal"/>
        <w:spacing w:lineRule="auto" w:line="240" w:before="0" w:after="0"/>
        <w:ind w:firstLine="708" w:left="0"/>
        <w:rPr>
          <w:rFonts w:eastAsia="Calibri"/>
          <w:color w:val="auto"/>
          <w:szCs w:val="24"/>
          <w:lang w:eastAsia="en-US"/>
        </w:rPr>
      </w:pPr>
      <w:r>
        <w:rPr>
          <w:rFonts w:eastAsia="Calibri"/>
          <w:color w:val="auto"/>
          <w:szCs w:val="24"/>
          <w:lang w:eastAsia="en-US"/>
        </w:rPr>
        <w:t xml:space="preserve">Определение размера причиненного вреда, </w:t>
      </w:r>
      <w:r>
        <w:rPr>
          <w:rFonts w:eastAsia="Calibri" w:cs="Times New Roman"/>
          <w:color w:val="auto"/>
          <w:kern w:val="0"/>
          <w:sz w:val="24"/>
          <w:szCs w:val="24"/>
          <w:lang w:val="ru-RU" w:eastAsia="en-US" w:bidi="ar-SA"/>
        </w:rPr>
        <w:t>п</w:t>
      </w:r>
      <w:r>
        <w:rPr>
          <w:rFonts w:eastAsia="Calibri"/>
          <w:color w:val="auto"/>
          <w:szCs w:val="24"/>
          <w:lang w:eastAsia="en-US"/>
        </w:rPr>
        <w:t>орядок освидетельствования работника на определение степени утраты трудоспособности , а также условия, порядок и сроки осуществления страховых выплат по договору обязательного страхования работника от несчастных случаев , заключение договора аннуитета в соответствии с Законом РК «Об обязательном страховании работника от несчастных случаев при исполнении им трудовых (служебных) обязанностей».</w:t>
      </w:r>
    </w:p>
    <w:p>
      <w:pPr>
        <w:pStyle w:val="Normal"/>
        <w:spacing w:lineRule="auto" w:line="240" w:before="0" w:after="0"/>
        <w:ind w:firstLine="708" w:left="0"/>
        <w:rPr>
          <w:rFonts w:eastAsia="Calibri"/>
          <w:color w:val="auto"/>
          <w:szCs w:val="24"/>
          <w:lang w:eastAsia="en-US"/>
        </w:rPr>
      </w:pPr>
      <w:r>
        <w:rPr>
          <w:rFonts w:eastAsia="Calibri"/>
          <w:color w:val="auto"/>
          <w:szCs w:val="24"/>
          <w:lang w:eastAsia="en-US"/>
        </w:rPr>
        <w:t xml:space="preserve">урегулирование споров согласно вышеуказанного закона, а также законодательства РК в сфере государственных закупок, и иных НПА. </w:t>
      </w:r>
    </w:p>
    <w:p>
      <w:pPr>
        <w:pStyle w:val="Normal"/>
        <w:spacing w:lineRule="auto" w:line="240" w:before="0" w:after="0"/>
        <w:ind w:firstLine="708" w:left="0"/>
        <w:rPr>
          <w:rFonts w:ascii="Times New Roman" w:hAnsi="Times New Roman"/>
          <w:sz w:val="28"/>
          <w:szCs w:val="28"/>
        </w:rPr>
      </w:pPr>
      <w:r>
        <w:rPr>
          <w:rFonts w:eastAsia="Calibri" w:ascii="Times New Roman" w:hAnsi="Times New Roman"/>
          <w:b w:val="false"/>
          <w:i w:val="false"/>
          <w:caps w:val="false"/>
          <w:smallCaps w:val="false"/>
          <w:color w:val="auto"/>
          <w:spacing w:val="0"/>
          <w:sz w:val="28"/>
          <w:szCs w:val="28"/>
          <w:lang w:eastAsia="en-US"/>
        </w:rPr>
        <w:t>Срок оказания услуг- согласно заявке Заказчика в течении 12 месяцев (начало страхование будет указано в заявке).</w:t>
      </w:r>
    </w:p>
    <w:p>
      <w:pPr>
        <w:pStyle w:val="Normal"/>
        <w:spacing w:lineRule="auto" w:line="259" w:before="0" w:after="16"/>
        <w:ind w:hanging="0" w:left="58"/>
        <w:jc w:val="center"/>
        <w:rPr>
          <w:szCs w:val="24"/>
        </w:rPr>
      </w:pPr>
      <w:r>
        <w:rPr>
          <w:szCs w:val="24"/>
        </w:rPr>
      </w:r>
    </w:p>
    <w:tbl>
      <w:tblPr>
        <w:tblStyle w:val="TableGrid"/>
        <w:tblW w:w="10423" w:type="dxa"/>
        <w:jc w:val="left"/>
        <w:tblInd w:w="-108" w:type="dxa"/>
        <w:tblLayout w:type="fixed"/>
        <w:tblCellMar>
          <w:top w:w="2" w:type="dxa"/>
          <w:left w:w="5" w:type="dxa"/>
          <w:bottom w:w="0" w:type="dxa"/>
          <w:right w:w="5" w:type="dxa"/>
        </w:tblCellMar>
        <w:tblLook w:val="04a0"/>
      </w:tblPr>
      <w:tblGrid>
        <w:gridCol w:w="4644"/>
        <w:gridCol w:w="21"/>
        <w:gridCol w:w="5307"/>
        <w:gridCol w:w="450"/>
      </w:tblGrid>
      <w:tr>
        <w:trPr>
          <w:trHeight w:val="263"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08"/>
              <w:jc w:val="left"/>
              <w:rPr>
                <w:kern w:val="0"/>
                <w:sz w:val="22"/>
                <w:szCs w:val="22"/>
                <w:lang w:val="ru-RU" w:eastAsia="ru-RU" w:bidi="ar-SA"/>
              </w:rPr>
            </w:pPr>
            <w:r>
              <w:rPr>
                <w:b/>
                <w:kern w:val="0"/>
                <w:sz w:val="22"/>
                <w:szCs w:val="22"/>
                <w:lang w:val="ru-RU" w:eastAsia="ru-RU" w:bidi="ar-SA"/>
              </w:rPr>
              <w:t>НАИМЕНОВАНИЕ ЗАКАЗЧИКА:</w:t>
            </w:r>
          </w:p>
        </w:tc>
        <w:tc>
          <w:tcPr>
            <w:tcW w:w="21" w:type="dxa"/>
            <w:tcBorders>
              <w:top w:val="single" w:sz="4" w:space="0" w:color="000000"/>
              <w:left w:val="single" w:sz="4" w:space="0" w:color="000000"/>
              <w:bottom w:val="single" w:sz="4" w:space="0" w:color="000000"/>
            </w:tcBorders>
          </w:tcPr>
          <w:p>
            <w:pPr>
              <w:pStyle w:val="Normal"/>
              <w:widowControl w:val="false"/>
              <w:suppressAutoHyphens w:val="true"/>
              <w:spacing w:lineRule="auto" w:line="259" w:before="0" w:after="160"/>
              <w:ind w:hanging="0" w:left="0"/>
              <w:jc w:val="left"/>
              <w:rPr>
                <w:kern w:val="0"/>
                <w:sz w:val="22"/>
                <w:szCs w:val="22"/>
                <w:lang w:val="ru-RU" w:eastAsia="ru-RU" w:bidi="ar-SA"/>
              </w:rPr>
            </w:pPr>
            <w:r>
              <w:rPr>
                <w:kern w:val="0"/>
                <w:sz w:val="22"/>
                <w:szCs w:val="22"/>
                <w:lang w:val="ru-RU" w:eastAsia="ru-RU" w:bidi="ar-SA"/>
              </w:rPr>
            </w:r>
          </w:p>
        </w:tc>
        <w:tc>
          <w:tcPr>
            <w:tcW w:w="5307" w:type="dxa"/>
            <w:tcBorders>
              <w:top w:val="single" w:sz="4" w:space="0" w:color="000000"/>
            </w:tcBorders>
            <w:shd w:color="auto" w:fill="auto" w:val="clear"/>
          </w:tcPr>
          <w:p>
            <w:pPr>
              <w:pStyle w:val="Normal"/>
              <w:widowControl w:val="false"/>
              <w:suppressAutoHyphens w:val="true"/>
              <w:spacing w:before="0" w:after="4"/>
              <w:rPr>
                <w:kern w:val="0"/>
                <w:sz w:val="22"/>
                <w:szCs w:val="22"/>
                <w:lang w:val="ru-RU" w:eastAsia="ru-RU" w:bidi="ar-SA"/>
              </w:rPr>
            </w:pPr>
            <w:r>
              <w:rPr>
                <w:kern w:val="0"/>
                <w:sz w:val="22"/>
                <w:szCs w:val="22"/>
                <w:lang w:val="ru-RU" w:eastAsia="ru-RU" w:bidi="ar-SA"/>
              </w:rPr>
              <w:t>АО «Жайыктеплоэнерго»</w:t>
            </w:r>
          </w:p>
        </w:tc>
        <w:tc>
          <w:tcPr>
            <w:tcW w:w="450" w:type="dxa"/>
            <w:tcBorders>
              <w:top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59" w:before="0" w:after="0"/>
              <w:ind w:hanging="0" w:left="-3"/>
              <w:jc w:val="left"/>
              <w:rPr>
                <w:kern w:val="0"/>
                <w:sz w:val="22"/>
                <w:szCs w:val="22"/>
                <w:lang w:val="ru-RU" w:eastAsia="ru-RU" w:bidi="ar-SA"/>
              </w:rPr>
            </w:pPr>
            <w:r>
              <w:rPr>
                <w:kern w:val="0"/>
                <w:sz w:val="22"/>
                <w:szCs w:val="22"/>
                <w:lang w:val="ru-RU" w:eastAsia="ru-RU" w:bidi="ar-SA"/>
              </w:rPr>
            </w:r>
          </w:p>
        </w:tc>
      </w:tr>
      <w:tr>
        <w:trPr>
          <w:trHeight w:val="1944"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08"/>
              <w:jc w:val="left"/>
              <w:rPr>
                <w:kern w:val="0"/>
                <w:sz w:val="22"/>
                <w:szCs w:val="22"/>
                <w:lang w:val="ru-RU" w:eastAsia="ru-RU" w:bidi="ar-SA"/>
              </w:rPr>
            </w:pPr>
            <w:r>
              <w:rPr>
                <w:b/>
                <w:kern w:val="0"/>
                <w:sz w:val="22"/>
                <w:szCs w:val="22"/>
                <w:lang w:val="ru-RU" w:eastAsia="ru-RU" w:bidi="ar-SA"/>
              </w:rPr>
              <w:t>АДРЕС</w:t>
            </w:r>
          </w:p>
          <w:p>
            <w:pPr>
              <w:pStyle w:val="Normal"/>
              <w:widowControl w:val="false"/>
              <w:suppressAutoHyphens w:val="true"/>
              <w:spacing w:lineRule="auto" w:line="259" w:before="0" w:after="25"/>
              <w:ind w:hanging="0" w:left="108"/>
              <w:jc w:val="left"/>
              <w:rPr>
                <w:kern w:val="0"/>
                <w:sz w:val="22"/>
                <w:szCs w:val="22"/>
                <w:lang w:val="ru-RU" w:eastAsia="ru-RU" w:bidi="ar-SA"/>
              </w:rPr>
            </w:pPr>
            <w:r>
              <w:rPr>
                <w:b/>
                <w:kern w:val="0"/>
                <w:sz w:val="22"/>
                <w:szCs w:val="22"/>
                <w:lang w:val="ru-RU" w:eastAsia="ru-RU" w:bidi="ar-SA"/>
              </w:rPr>
              <w:t>ФАКТИЧЕСКОГО</w:t>
            </w:r>
          </w:p>
          <w:p>
            <w:pPr>
              <w:pStyle w:val="Normal"/>
              <w:widowControl w:val="false"/>
              <w:suppressAutoHyphens w:val="true"/>
              <w:spacing w:lineRule="auto" w:line="259" w:before="0" w:after="26"/>
              <w:ind w:hanging="0" w:left="108"/>
              <w:jc w:val="left"/>
              <w:rPr>
                <w:kern w:val="0"/>
                <w:sz w:val="22"/>
                <w:szCs w:val="22"/>
                <w:lang w:val="ru-RU" w:eastAsia="ru-RU" w:bidi="ar-SA"/>
              </w:rPr>
            </w:pPr>
            <w:r>
              <w:rPr>
                <w:b/>
                <w:kern w:val="0"/>
                <w:sz w:val="22"/>
                <w:szCs w:val="22"/>
                <w:lang w:val="ru-RU" w:eastAsia="ru-RU" w:bidi="ar-SA"/>
              </w:rPr>
              <w:t>МЕСТОНАХОЖДЕНИЯ</w:t>
            </w:r>
          </w:p>
          <w:p>
            <w:pPr>
              <w:pStyle w:val="Normal"/>
              <w:widowControl w:val="false"/>
              <w:suppressAutoHyphens w:val="true"/>
              <w:spacing w:lineRule="auto" w:line="259" w:before="0" w:after="0"/>
              <w:ind w:hanging="0" w:left="108" w:right="81"/>
              <w:jc w:val="left"/>
              <w:rPr>
                <w:kern w:val="0"/>
                <w:sz w:val="22"/>
                <w:szCs w:val="22"/>
                <w:lang w:val="ru-RU" w:eastAsia="ru-RU" w:bidi="ar-SA"/>
              </w:rPr>
            </w:pPr>
            <w:r>
              <w:rPr>
                <w:kern w:val="0"/>
                <w:sz w:val="22"/>
                <w:szCs w:val="22"/>
                <w:lang w:val="ru-RU" w:eastAsia="ru-RU" w:bidi="ar-SA"/>
              </w:rPr>
            </w:r>
          </w:p>
        </w:tc>
        <w:tc>
          <w:tcPr>
            <w:tcW w:w="57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4"/>
              <w:ind w:hanging="10" w:left="111" w:right="256"/>
              <w:rPr>
                <w:kern w:val="0"/>
                <w:sz w:val="22"/>
                <w:szCs w:val="22"/>
                <w:lang w:val="ru-RU" w:eastAsia="ru-RU" w:bidi="ar-SA"/>
              </w:rPr>
            </w:pPr>
            <w:r>
              <w:rPr>
                <w:color w:val="333333"/>
                <w:kern w:val="0"/>
                <w:sz w:val="22"/>
                <w:szCs w:val="22"/>
                <w:shd w:fill="F9F9F9" w:val="clear"/>
                <w:lang w:val="ru-RU" w:eastAsia="ru-RU" w:bidi="ar-SA"/>
              </w:rPr>
              <w:t>Западно-Казахстанская область, г.Уральск, р-он ТЭЦ строение 13</w:t>
            </w:r>
          </w:p>
        </w:tc>
      </w:tr>
      <w:tr>
        <w:trPr>
          <w:trHeight w:val="838"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08"/>
              <w:jc w:val="left"/>
              <w:rPr>
                <w:kern w:val="0"/>
                <w:sz w:val="22"/>
                <w:szCs w:val="22"/>
                <w:lang w:val="ru-RU" w:eastAsia="ru-RU" w:bidi="ar-SA"/>
              </w:rPr>
            </w:pPr>
            <w:r>
              <w:rPr>
                <w:b/>
                <w:kern w:val="0"/>
                <w:sz w:val="22"/>
                <w:szCs w:val="22"/>
                <w:lang w:val="ru-RU" w:eastAsia="ru-RU" w:bidi="ar-SA"/>
              </w:rPr>
              <w:t>ПРЕДМЕТ ЗАКУПА:</w:t>
            </w:r>
          </w:p>
        </w:tc>
        <w:tc>
          <w:tcPr>
            <w:tcW w:w="57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10" w:right="108"/>
              <w:rPr>
                <w:kern w:val="0"/>
                <w:sz w:val="22"/>
                <w:szCs w:val="22"/>
                <w:lang w:val="ru-RU" w:eastAsia="ru-RU" w:bidi="ar-SA"/>
              </w:rPr>
            </w:pPr>
            <w:r>
              <w:rPr>
                <w:kern w:val="0"/>
                <w:sz w:val="22"/>
                <w:szCs w:val="22"/>
                <w:lang w:val="ru-RU" w:eastAsia="ru-RU" w:bidi="ar-SA"/>
              </w:rPr>
              <w:t>обязательное страхование работников от несчастных случаев при исполнении им трудовых (служебных) обязанностей</w:t>
            </w:r>
          </w:p>
        </w:tc>
      </w:tr>
      <w:tr>
        <w:trPr>
          <w:trHeight w:val="317" w:hRule="atLeast"/>
        </w:trPr>
        <w:tc>
          <w:tcPr>
            <w:tcW w:w="1042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08"/>
              <w:jc w:val="left"/>
              <w:rPr>
                <w:kern w:val="0"/>
                <w:sz w:val="22"/>
                <w:szCs w:val="22"/>
                <w:lang w:val="ru-RU" w:eastAsia="ru-RU" w:bidi="ar-SA"/>
              </w:rPr>
            </w:pPr>
            <w:r>
              <w:rPr>
                <w:b/>
                <w:kern w:val="0"/>
                <w:sz w:val="22"/>
                <w:szCs w:val="22"/>
                <w:lang w:val="ru-RU" w:eastAsia="ru-RU" w:bidi="ar-SA"/>
              </w:rPr>
              <w:t>НАИМЕНОВАНИЕ, ОПИСАНИЕ, КОЛИЧЕСТВО ОКАЗЫВАЕМЫХ УСЛУГ:</w:t>
            </w:r>
          </w:p>
        </w:tc>
      </w:tr>
      <w:tr>
        <w:trPr>
          <w:trHeight w:val="898"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08"/>
              <w:jc w:val="left"/>
              <w:rPr>
                <w:kern w:val="0"/>
                <w:sz w:val="22"/>
                <w:szCs w:val="22"/>
                <w:lang w:val="ru-RU" w:eastAsia="ru-RU" w:bidi="ar-SA"/>
              </w:rPr>
            </w:pPr>
            <w:r>
              <w:rPr>
                <w:b/>
                <w:kern w:val="0"/>
                <w:sz w:val="22"/>
                <w:szCs w:val="22"/>
                <w:lang w:val="ru-RU" w:eastAsia="ru-RU" w:bidi="ar-SA"/>
              </w:rPr>
              <w:t>ОБЪЕКТ СТРАХОВАНИЯ:</w:t>
            </w:r>
          </w:p>
        </w:tc>
        <w:tc>
          <w:tcPr>
            <w:tcW w:w="57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10" w:right="109"/>
              <w:rPr>
                <w:kern w:val="0"/>
                <w:sz w:val="22"/>
                <w:szCs w:val="22"/>
                <w:lang w:val="ru-RU" w:eastAsia="ru-RU" w:bidi="ar-SA"/>
              </w:rPr>
            </w:pPr>
            <w:r>
              <w:rPr>
                <w:kern w:val="0"/>
                <w:sz w:val="22"/>
                <w:szCs w:val="22"/>
                <w:lang w:val="ru-RU" w:eastAsia="ru-RU" w:bidi="ar-SA"/>
              </w:rPr>
              <w:t>обязательное страхование работников от несчастных случаев при исполнении им трудовых (служебных) обязанностей</w:t>
            </w:r>
          </w:p>
        </w:tc>
      </w:tr>
      <w:tr>
        <w:trPr>
          <w:trHeight w:val="4151"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08"/>
              <w:jc w:val="left"/>
              <w:rPr>
                <w:kern w:val="0"/>
                <w:sz w:val="22"/>
                <w:szCs w:val="22"/>
                <w:lang w:val="ru-RU" w:eastAsia="ru-RU" w:bidi="ar-SA"/>
              </w:rPr>
            </w:pPr>
            <w:r>
              <w:rPr>
                <w:b/>
                <w:kern w:val="0"/>
                <w:sz w:val="22"/>
                <w:szCs w:val="22"/>
                <w:lang w:val="ru-RU" w:eastAsia="ru-RU" w:bidi="ar-SA"/>
              </w:rPr>
              <w:t>СТРАХОВЫЕ СЛУЧАИ:</w:t>
            </w:r>
          </w:p>
          <w:p>
            <w:pPr>
              <w:pStyle w:val="Normal"/>
              <w:widowControl w:val="false"/>
              <w:suppressAutoHyphens w:val="true"/>
              <w:spacing w:lineRule="auto" w:line="259" w:before="0" w:after="0"/>
              <w:ind w:hanging="0" w:left="108"/>
              <w:jc w:val="left"/>
              <w:rPr>
                <w:kern w:val="0"/>
                <w:sz w:val="22"/>
                <w:szCs w:val="22"/>
                <w:lang w:val="ru-RU" w:eastAsia="ru-RU" w:bidi="ar-SA"/>
              </w:rPr>
            </w:pPr>
            <w:r>
              <w:rPr>
                <w:kern w:val="0"/>
                <w:sz w:val="22"/>
                <w:szCs w:val="22"/>
                <w:lang w:val="ru-RU" w:eastAsia="ru-RU" w:bidi="ar-SA"/>
              </w:rPr>
            </w:r>
          </w:p>
          <w:p>
            <w:pPr>
              <w:pStyle w:val="Normal"/>
              <w:widowControl w:val="false"/>
              <w:suppressAutoHyphens w:val="true"/>
              <w:spacing w:lineRule="auto" w:line="259" w:before="0" w:after="0"/>
              <w:ind w:hanging="0" w:left="108"/>
              <w:jc w:val="left"/>
              <w:rPr>
                <w:kern w:val="0"/>
                <w:sz w:val="22"/>
                <w:szCs w:val="22"/>
                <w:lang w:val="ru-RU" w:eastAsia="ru-RU" w:bidi="ar-SA"/>
              </w:rPr>
            </w:pPr>
            <w:r>
              <w:rPr>
                <w:kern w:val="0"/>
                <w:sz w:val="22"/>
                <w:szCs w:val="22"/>
                <w:lang w:val="ru-RU" w:eastAsia="ru-RU" w:bidi="ar-SA"/>
              </w:rPr>
            </w:r>
          </w:p>
        </w:tc>
        <w:tc>
          <w:tcPr>
            <w:tcW w:w="57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22" w:right="108"/>
              <w:rPr>
                <w:kern w:val="0"/>
                <w:sz w:val="22"/>
                <w:szCs w:val="22"/>
                <w:lang w:val="ru-RU" w:eastAsia="ru-RU" w:bidi="ar-SA"/>
              </w:rPr>
            </w:pPr>
            <w:r>
              <w:rPr>
                <w:kern w:val="0"/>
                <w:sz w:val="22"/>
                <w:szCs w:val="22"/>
                <w:lang w:val="ru-RU" w:eastAsia="ru-RU" w:bidi="ar-SA"/>
              </w:rPr>
              <w:t>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Законами РК. В течение рабочего времени на рабочем месте, по пути следования работника, в том числе по заданию работодателя, а так же во время командировки при исполнении трудовых обязанностей; (иные случаи, предусмотренные законодательством)</w:t>
            </w:r>
          </w:p>
        </w:tc>
      </w:tr>
      <w:tr>
        <w:trPr>
          <w:trHeight w:val="840"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kern w:val="0"/>
                <w:sz w:val="22"/>
                <w:szCs w:val="22"/>
                <w:lang w:val="ru-RU" w:eastAsia="ru-RU" w:bidi="ar-SA"/>
              </w:rPr>
            </w:pPr>
            <w:r>
              <w:rPr>
                <w:b/>
                <w:kern w:val="0"/>
                <w:sz w:val="22"/>
                <w:szCs w:val="22"/>
                <w:lang w:val="ru-RU" w:eastAsia="ru-RU" w:bidi="ar-SA"/>
              </w:rPr>
              <w:t>СТРАХОВЫЕ  ВЫПЛАТЫ:</w:t>
            </w:r>
          </w:p>
        </w:tc>
        <w:tc>
          <w:tcPr>
            <w:tcW w:w="57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2" w:right="58"/>
              <w:rPr>
                <w:kern w:val="0"/>
                <w:sz w:val="22"/>
                <w:szCs w:val="22"/>
                <w:lang w:val="ru-RU" w:eastAsia="ru-RU" w:bidi="ar-SA"/>
              </w:rPr>
            </w:pPr>
            <w:r>
              <w:rPr>
                <w:kern w:val="0"/>
                <w:sz w:val="22"/>
                <w:szCs w:val="22"/>
                <w:lang w:val="ru-RU" w:eastAsia="ru-RU" w:bidi="ar-SA"/>
              </w:rPr>
              <w:t>сумма денег, выплачиваемая страховщиком выгодоприобретателю в пределах страховой суммы при наступлении страхового случая</w:t>
            </w:r>
          </w:p>
        </w:tc>
      </w:tr>
      <w:tr>
        <w:trPr>
          <w:trHeight w:val="1114"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kern w:val="0"/>
                <w:sz w:val="22"/>
                <w:szCs w:val="22"/>
                <w:lang w:val="ru-RU" w:eastAsia="ru-RU" w:bidi="ar-SA"/>
              </w:rPr>
            </w:pPr>
            <w:r>
              <w:rPr>
                <w:b/>
                <w:kern w:val="0"/>
                <w:sz w:val="22"/>
                <w:szCs w:val="22"/>
                <w:lang w:val="ru-RU" w:eastAsia="ru-RU" w:bidi="ar-SA"/>
              </w:rPr>
              <w:t>ТЕРРИТОРИЯ, ПЕРИОД  СТРАХОВАНИЯ:</w:t>
            </w:r>
          </w:p>
        </w:tc>
        <w:tc>
          <w:tcPr>
            <w:tcW w:w="57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2" w:right="86"/>
              <w:rPr>
                <w:kern w:val="0"/>
                <w:sz w:val="22"/>
                <w:szCs w:val="22"/>
                <w:lang w:val="ru-RU" w:eastAsia="ru-RU" w:bidi="ar-SA"/>
              </w:rPr>
            </w:pPr>
            <w:r>
              <w:rPr>
                <w:kern w:val="0"/>
                <w:sz w:val="22"/>
                <w:szCs w:val="22"/>
                <w:lang w:val="ru-RU" w:eastAsia="ru-RU" w:bidi="ar-SA"/>
              </w:rPr>
              <w:t>место работы Застрахованного либо другое место, нахождение в котором Застрахованного было обусловлено выполнением им трудовых (служебных) обязанностей, один год.</w:t>
            </w:r>
          </w:p>
        </w:tc>
      </w:tr>
      <w:tr>
        <w:trPr>
          <w:trHeight w:val="1114"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b/>
              </w:rPr>
            </w:pPr>
            <w:r>
              <w:rPr>
                <w:b/>
                <w:kern w:val="0"/>
                <w:sz w:val="22"/>
                <w:szCs w:val="22"/>
                <w:lang w:val="ru-RU" w:eastAsia="ru-RU" w:bidi="ar-SA"/>
              </w:rPr>
              <w:t>КЛАСС ПРОФЕССИОНАЛЬНОГО РИСКА:</w:t>
            </w:r>
          </w:p>
        </w:tc>
        <w:tc>
          <w:tcPr>
            <w:tcW w:w="57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2" w:right="86"/>
              <w:rPr>
                <w:rFonts w:ascii="Times New Roman" w:hAnsi="Times New Roman" w:eastAsia="Times New Roman" w:cs="Times New Roman"/>
                <w:color w:val="000000"/>
                <w:kern w:val="0"/>
                <w:sz w:val="22"/>
                <w:szCs w:val="22"/>
                <w:lang w:val="ru-RU" w:eastAsia="ru-RU" w:bidi="ar-SA"/>
              </w:rPr>
            </w:pPr>
            <w:r>
              <w:rPr>
                <w:rFonts w:eastAsia="Times New Roman" w:cs="Times New Roman"/>
                <w:color w:val="000000"/>
                <w:kern w:val="0"/>
                <w:sz w:val="22"/>
                <w:szCs w:val="22"/>
                <w:lang w:val="ru-RU" w:eastAsia="ru-RU" w:bidi="ar-SA"/>
              </w:rPr>
              <w:t>10</w:t>
            </w:r>
          </w:p>
        </w:tc>
      </w:tr>
      <w:tr>
        <w:trPr>
          <w:trHeight w:val="838"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kern w:val="0"/>
                <w:sz w:val="22"/>
                <w:szCs w:val="22"/>
                <w:lang w:val="ru-RU" w:eastAsia="ru-RU" w:bidi="ar-SA"/>
              </w:rPr>
            </w:pPr>
            <w:r>
              <w:rPr>
                <w:b/>
                <w:kern w:val="0"/>
                <w:sz w:val="22"/>
                <w:szCs w:val="22"/>
                <w:lang w:val="ru-RU" w:eastAsia="ru-RU" w:bidi="ar-SA"/>
              </w:rPr>
              <w:t>СРОК ДЕЙСТВИЯ СТРАХОВОГО ПОЛИСА:</w:t>
            </w:r>
          </w:p>
        </w:tc>
        <w:tc>
          <w:tcPr>
            <w:tcW w:w="57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right="59"/>
              <w:rPr>
                <w:highlight w:val="yellow"/>
              </w:rPr>
            </w:pPr>
            <w:r>
              <w:rPr>
                <w:kern w:val="0"/>
                <w:sz w:val="22"/>
                <w:szCs w:val="22"/>
                <w:lang w:val="ru-RU" w:eastAsia="ru-RU" w:bidi="ar-SA"/>
              </w:rPr>
              <w:t xml:space="preserve"> </w:t>
            </w:r>
            <w:r>
              <w:rPr>
                <w:rFonts w:eastAsia="Times New Roman" w:cs="Times New Roman"/>
                <w:color w:val="000000"/>
                <w:kern w:val="0"/>
                <w:sz w:val="22"/>
                <w:szCs w:val="22"/>
                <w:lang w:val="ru-RU" w:eastAsia="ru-RU" w:bidi="ar-SA"/>
              </w:rPr>
              <w:t>согласно заявке Заказчика в течении 12 месяцев (начало страхование будет указано в заявке).</w:t>
            </w:r>
          </w:p>
        </w:tc>
      </w:tr>
      <w:tr>
        <w:trPr>
          <w:trHeight w:val="583"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b/>
              </w:rPr>
            </w:pPr>
            <w:r>
              <w:rPr>
                <w:b/>
                <w:kern w:val="0"/>
                <w:sz w:val="22"/>
                <w:szCs w:val="22"/>
                <w:lang w:val="ru-RU" w:eastAsia="ru-RU" w:bidi="ar-SA"/>
              </w:rPr>
              <w:t>КОЛИЧЕСТВО СОТРУДНИКОВ:</w:t>
            </w:r>
          </w:p>
        </w:tc>
        <w:tc>
          <w:tcPr>
            <w:tcW w:w="57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rPr>
                <w:bCs/>
                <w:highlight w:val="yellow"/>
                <w:lang w:val="kk-KZ"/>
              </w:rPr>
            </w:pPr>
            <w:r>
              <w:rPr>
                <w:rFonts w:eastAsia="Times New Roman" w:cs="Times New Roman"/>
                <w:bCs/>
                <w:color w:val="000000"/>
                <w:kern w:val="0"/>
                <w:sz w:val="22"/>
                <w:szCs w:val="22"/>
                <w:lang w:val="ru-RU" w:eastAsia="ru-RU" w:bidi="ar-SA"/>
              </w:rPr>
              <w:t>На 01.09.2026 - 1008</w:t>
            </w:r>
            <w:r>
              <w:rPr>
                <w:bCs/>
                <w:kern w:val="0"/>
                <w:sz w:val="22"/>
                <w:szCs w:val="22"/>
                <w:lang w:val="kk-KZ" w:eastAsia="ru-RU" w:bidi="ar-SA"/>
              </w:rPr>
              <w:t xml:space="preserve"> человек</w:t>
            </w:r>
          </w:p>
        </w:tc>
      </w:tr>
      <w:tr>
        <w:trPr>
          <w:trHeight w:val="637"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b/>
              </w:rPr>
            </w:pPr>
            <w:r>
              <w:rPr>
                <w:b/>
                <w:kern w:val="0"/>
                <w:sz w:val="22"/>
                <w:szCs w:val="22"/>
                <w:lang w:val="ru-RU" w:eastAsia="ru-RU" w:bidi="ar-SA"/>
              </w:rPr>
              <w:t>ГОДОВОЙ ФОНД ОПЛАТЫ ТРУДА ЗП (страховая сумма):</w:t>
            </w:r>
          </w:p>
        </w:tc>
        <w:tc>
          <w:tcPr>
            <w:tcW w:w="57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2"/>
              <w:jc w:val="left"/>
              <w:rPr>
                <w:sz w:val="22"/>
              </w:rPr>
            </w:pPr>
            <w:r>
              <w:rPr>
                <w:rFonts w:eastAsia="Times New Roman" w:cs="Times New Roman"/>
                <w:color w:val="000000"/>
                <w:kern w:val="0"/>
                <w:sz w:val="22"/>
                <w:szCs w:val="22"/>
                <w:lang w:val="ru-RU" w:eastAsia="ru-RU" w:bidi="ar-SA"/>
              </w:rPr>
              <w:t xml:space="preserve">3 473 818 531,20 </w:t>
            </w:r>
            <w:r>
              <w:rPr>
                <w:kern w:val="0"/>
                <w:sz w:val="22"/>
                <w:szCs w:val="22"/>
                <w:lang w:val="ru-RU" w:eastAsia="ru-RU" w:bidi="ar-SA"/>
              </w:rPr>
              <w:t>тенге</w:t>
            </w:r>
          </w:p>
        </w:tc>
      </w:tr>
      <w:tr>
        <w:trPr>
          <w:trHeight w:val="637" w:hRule="atLeast"/>
        </w:trPr>
        <w:tc>
          <w:tcPr>
            <w:tcW w:w="46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b/>
              </w:rPr>
            </w:pPr>
            <w:r>
              <w:rPr>
                <w:b/>
                <w:kern w:val="0"/>
                <w:sz w:val="22"/>
                <w:szCs w:val="22"/>
                <w:lang w:val="ru-RU" w:eastAsia="ru-RU" w:bidi="ar-SA"/>
              </w:rPr>
              <w:t>ЛИЦЕНЗИЯ НА ВИД ОБЯЗАТЕЛЬНОГО СТРАХОВАНИЯ:</w:t>
            </w:r>
          </w:p>
        </w:tc>
        <w:tc>
          <w:tcPr>
            <w:tcW w:w="57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2"/>
              <w:jc w:val="left"/>
              <w:rPr>
                <w:kern w:val="0"/>
                <w:sz w:val="22"/>
                <w:szCs w:val="22"/>
                <w:lang w:val="ru-RU" w:eastAsia="ru-RU" w:bidi="ar-SA"/>
              </w:rPr>
            </w:pPr>
            <w:r>
              <w:rPr>
                <w:kern w:val="0"/>
                <w:sz w:val="22"/>
                <w:szCs w:val="22"/>
                <w:lang w:val="ru-RU" w:eastAsia="ru-RU" w:bidi="ar-SA"/>
              </w:rPr>
              <w:t>Обязательное страхование от несчастных случаев при исполнении им трудовых (служебных) обязанностей</w:t>
            </w:r>
          </w:p>
        </w:tc>
      </w:tr>
    </w:tbl>
    <w:p>
      <w:pPr>
        <w:pStyle w:val="Normal"/>
        <w:spacing w:lineRule="auto" w:line="259" w:before="0" w:after="25"/>
        <w:ind w:hanging="0" w:left="708"/>
        <w:jc w:val="left"/>
        <w:rPr/>
      </w:pPr>
      <w:r>
        <w:rPr/>
      </w:r>
    </w:p>
    <w:p>
      <w:pPr>
        <w:pStyle w:val="Normal"/>
        <w:spacing w:lineRule="auto" w:line="264" w:before="0" w:after="155"/>
        <w:jc w:val="left"/>
        <w:rPr/>
      </w:pPr>
      <w:r>
        <w:rPr>
          <w:b/>
          <w:u w:val="single" w:color="000000"/>
          <w:lang w:val="kk-KZ"/>
        </w:rPr>
        <w:t>Требования к поставщику</w:t>
      </w:r>
      <w:r>
        <w:rPr>
          <w:b/>
          <w:u w:val="single" w:color="000000"/>
        </w:rPr>
        <w:t>:</w:t>
      </w:r>
    </w:p>
    <w:p>
      <w:pPr>
        <w:pStyle w:val="Normal"/>
        <w:numPr>
          <w:ilvl w:val="0"/>
          <w:numId w:val="1"/>
        </w:numPr>
        <w:spacing w:before="0" w:after="33"/>
        <w:ind w:hanging="360" w:left="705"/>
        <w:rPr/>
      </w:pPr>
      <w:r>
        <w:rPr/>
        <w:t xml:space="preserve">Оперативность решения всех вопросов, связанных с заключением договоров страхования, согласно требованиям законодательства.  </w:t>
      </w:r>
    </w:p>
    <w:p>
      <w:pPr>
        <w:pStyle w:val="Normal"/>
        <w:numPr>
          <w:ilvl w:val="0"/>
          <w:numId w:val="1"/>
        </w:numPr>
        <w:ind w:hanging="360" w:left="705"/>
        <w:rPr/>
      </w:pPr>
      <w:r>
        <w:rPr/>
        <w:t xml:space="preserve">Индивидуальный подход и минимальные страховые тарифы. </w:t>
      </w:r>
    </w:p>
    <w:p>
      <w:pPr>
        <w:pStyle w:val="Normal"/>
        <w:numPr>
          <w:ilvl w:val="0"/>
          <w:numId w:val="1"/>
        </w:numPr>
        <w:ind w:hanging="360" w:left="705"/>
        <w:rPr/>
      </w:pPr>
      <w:r>
        <w:rPr/>
        <w:t xml:space="preserve">Своевременность выплат в полном объеме.  </w:t>
      </w:r>
    </w:p>
    <w:p>
      <w:pPr>
        <w:pStyle w:val="Normal"/>
        <w:numPr>
          <w:ilvl w:val="0"/>
          <w:numId w:val="1"/>
        </w:numPr>
        <w:ind w:hanging="360" w:left="705"/>
        <w:rPr/>
      </w:pPr>
      <w:r>
        <w:rPr/>
        <w:t xml:space="preserve">Качественное перестрахование рисков. </w:t>
      </w:r>
    </w:p>
    <w:p>
      <w:pPr>
        <w:pStyle w:val="Normal"/>
        <w:numPr>
          <w:ilvl w:val="0"/>
          <w:numId w:val="1"/>
        </w:numPr>
        <w:ind w:hanging="360" w:left="705"/>
        <w:rPr>
          <w:lang w:val="en-US"/>
        </w:rPr>
      </w:pPr>
      <w:r>
        <w:rPr/>
        <w:t xml:space="preserve">Высокие нормативы платежеспособности.  </w:t>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ind w:hanging="360" w:left="705"/>
        <w:rPr>
          <w:lang w:val="en-US"/>
        </w:rPr>
      </w:pPr>
      <w:r>
        <w:rPr>
          <w:lang w:val="en-US"/>
        </w:rPr>
      </w:r>
    </w:p>
    <w:p>
      <w:pPr>
        <w:pStyle w:val="Normal"/>
        <w:jc w:val="right"/>
        <w:rPr/>
      </w:pPr>
      <w:r>
        <w:rPr>
          <w:b/>
          <w:bCs/>
        </w:rPr>
        <w:t>Қосымша 2</w:t>
      </w:r>
    </w:p>
    <w:p>
      <w:pPr>
        <w:pStyle w:val="Normal"/>
        <w:jc w:val="center"/>
        <w:rPr/>
      </w:pPr>
      <w:r>
        <w:rPr>
          <w:b/>
          <w:bCs/>
        </w:rPr>
        <w:t>ТЕХНИКАЛЫҚ ЕРЕКШЕЛІГІ</w:t>
        <w:br/>
        <w:t>Қызметкерлерді еңбек (қызметтік) міндеттерін орындау кезінде жазатайым оқиғалардан міндетті сақтандыру бойынша 202</w:t>
      </w:r>
      <w:r>
        <w:rPr>
          <w:rFonts w:eastAsia="Times New Roman" w:cs="Times New Roman"/>
          <w:b/>
          <w:bCs/>
          <w:color w:val="000000"/>
          <w:kern w:val="0"/>
          <w:sz w:val="24"/>
          <w:szCs w:val="22"/>
          <w:lang w:val="en-US" w:eastAsia="ru-RU" w:bidi="ar-SA"/>
        </w:rPr>
        <w:t>6</w:t>
      </w:r>
      <w:r>
        <w:rPr>
          <w:b/>
          <w:bCs/>
        </w:rPr>
        <w:t xml:space="preserve"> - 202</w:t>
      </w:r>
      <w:r>
        <w:rPr>
          <w:rFonts w:eastAsia="Times New Roman" w:cs="Times New Roman"/>
          <w:b/>
          <w:bCs/>
          <w:color w:val="000000"/>
          <w:kern w:val="0"/>
          <w:sz w:val="24"/>
          <w:szCs w:val="22"/>
          <w:lang w:val="en-US" w:eastAsia="ru-RU" w:bidi="ar-SA"/>
        </w:rPr>
        <w:t>7</w:t>
      </w:r>
      <w:r>
        <w:rPr>
          <w:b/>
          <w:bCs/>
        </w:rPr>
        <w:t>ж.</w:t>
      </w:r>
    </w:p>
    <w:p>
      <w:pPr>
        <w:pStyle w:val="Normal"/>
        <w:jc w:val="both"/>
        <w:rPr>
          <w:b/>
          <w:bCs/>
        </w:rPr>
      </w:pPr>
      <w:r>
        <w:rPr>
          <w:b/>
          <w:bCs/>
        </w:rPr>
      </w:r>
    </w:p>
    <w:p>
      <w:pPr>
        <w:pStyle w:val="Normal"/>
        <w:jc w:val="both"/>
        <w:rPr>
          <w:b w:val="false"/>
          <w:bCs w:val="false"/>
        </w:rPr>
      </w:pPr>
      <w:r>
        <w:rPr>
          <w:b w:val="false"/>
          <w:bCs w:val="false"/>
        </w:rPr>
        <w:tab/>
        <w:tab/>
        <w:t>Сақтандыру түрі-Тапсырыс берушінің жарғылық қызметіне сәйкес қызметкерлерді еңбек (қызметтік) міндеттерін атқарған кезде оларды жазатайым оқиғалардан міндетті сақтандыру.</w:t>
        <w:br/>
        <w:t>Өнім беруші "қызметкер еңбек (қызметтік) міндеттерін атқарған кезде оны жазатайым оқиғалардан міндетті сақтандыру туралы"ҚР Заңына сәйкес қызметкерді жиі емес жағдайлардан міндетті сақтандыру шартын жасасуға тиіс.</w:t>
      </w:r>
    </w:p>
    <w:p>
      <w:pPr>
        <w:pStyle w:val="Normal"/>
        <w:jc w:val="both"/>
        <w:rPr>
          <w:b w:val="false"/>
          <w:bCs w:val="false"/>
        </w:rPr>
      </w:pPr>
      <w:r>
        <w:rPr>
          <w:b w:val="false"/>
          <w:bCs w:val="false"/>
        </w:rPr>
        <w:t xml:space="preserve"> </w:t>
      </w:r>
      <w:r>
        <w:rPr>
          <w:b w:val="false"/>
          <w:bCs w:val="false"/>
        </w:rPr>
        <w:tab/>
        <w:t>Шарттың қолданылу аумағы-сақтандырылушының жұмыс орны, құрылыс объектілері, сондай-ақ сақтандырылушы қызметкердің жұмыс берушінің (сақтандыру шарты бойынша сақтандыру) немесе Сақтанушы ұйымының лауазымды адамының тапсыруына байланысты оның еңбек немесе өзге де міндеттерді орындауына байланысты болатын кез келген басқа орын.</w:t>
      </w:r>
    </w:p>
    <w:p>
      <w:pPr>
        <w:pStyle w:val="Normal"/>
        <w:jc w:val="both"/>
        <w:rPr>
          <w:b w:val="false"/>
          <w:bCs w:val="false"/>
        </w:rPr>
      </w:pPr>
      <w:r>
        <w:rPr>
          <w:b w:val="false"/>
          <w:bCs w:val="false"/>
        </w:rPr>
        <w:tab/>
        <w:tab/>
        <w:t>Сақтандырушы:</w:t>
        <w:br/>
        <w:t>1) сақтанушыны шарттармен таныстыруға және оның құқықтары мен міндеттерін түсіндіруге;</w:t>
        <w:br/>
        <w:t>2) өз қызметі нәтижесінде алынған сақтанушы және пайда алушы туралы мәліметтердің құпиялылығын қамтамасыз етуге міндетті;</w:t>
      </w:r>
    </w:p>
    <w:p>
      <w:pPr>
        <w:pStyle w:val="Normal"/>
        <w:jc w:val="both"/>
        <w:rPr>
          <w:b w:val="false"/>
          <w:bCs w:val="false"/>
        </w:rPr>
      </w:pPr>
      <w:r>
        <w:rPr>
          <w:b w:val="false"/>
          <w:bCs w:val="false"/>
        </w:rPr>
        <w:t>3) сақтанушыға оның сақтандыру жағдайы кезінде жұмсаған шығыстарын өтеуге міндетті;</w:t>
        <w:br/>
        <w:t>4) "қызметкер еңбек (қызметтік) міндеттерін атқарған кезде оны жазатайым оқиғалардан міндетті сақтандыру туралы" Қазақстан Республикасының 2005 жылғы 07 ақпандағы № 30 Заңында және міндетті сақтандыру шартын жасасқан және орындаған кезде Қазақстан Республикасының 2015 жылғы 23 қарашадағы № 414-V ҚРЗ Еңбек кодексінде көзделген барлық (өзге) міндеттерді тиісінше орындауға міндетті қызметкер еңбек (қызметтік) міндеттерін атқарған кезде оны жазатайым оқиғалардан қорғауды қамтамасыз етеді.</w:t>
      </w:r>
    </w:p>
    <w:p>
      <w:pPr>
        <w:pStyle w:val="Normal"/>
        <w:jc w:val="both"/>
        <w:rPr>
          <w:b w:val="false"/>
          <w:bCs w:val="false"/>
        </w:rPr>
      </w:pPr>
      <w:r>
        <w:rPr>
          <w:b w:val="false"/>
          <w:bCs w:val="false"/>
        </w:rPr>
        <w:tab/>
        <w:tab/>
        <w:t>Қызметкер еңбек (қызметтік) міндеттерін атқарған кезде оны жазатайым оқиғалардан міндетті сақтандырудың (бұдан әрі - "қызметкерді жазатайым оқиғалардан міндетті сақтандыру") объектісі оған кәсіптік еңбекке қабілеттілігінен айрылу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мүддесі болып табылады.</w:t>
      </w:r>
    </w:p>
    <w:p>
      <w:pPr>
        <w:pStyle w:val="Normal"/>
        <w:jc w:val="both"/>
        <w:rPr>
          <w:b w:val="false"/>
          <w:bCs w:val="false"/>
        </w:rPr>
      </w:pPr>
      <w:r>
        <w:rPr>
          <w:b w:val="false"/>
          <w:bCs w:val="false"/>
        </w:rPr>
        <w:tab/>
        <w:tab/>
        <w:t>Еңбек (қызметтік) міндеттерін орындау кезінде қызметкер (қызметкерлер) еңбек қызметтік міндеттерін атқару кезінде зиянды және (немесе) қауіпті өндірістік фактордың әсер етуі нәтижесінде болған, соның салдарынан қызметкердің өзін анықтауға әкеп соққан өндірістік жарақаты, денсаулығының кенеттен нашарлауы немесе улануы болған жазатайым оқиғаның (жазатайым оқиғаның) басталу фактісі кәсіптік еңбекке қабілеттілігінен айырылу, кәсіптік ауруға шалдығу не қайтыс болу дәрежелері, Қазақстан Республикасы Еңбек Кодексінің 2015 жылғы 23 қарашадағы 186-бабында көзделген.</w:t>
      </w:r>
    </w:p>
    <w:p>
      <w:pPr>
        <w:pStyle w:val="Normal"/>
        <w:jc w:val="both"/>
        <w:rPr>
          <w:b w:val="false"/>
          <w:bCs w:val="false"/>
        </w:rPr>
      </w:pPr>
      <w:r>
        <w:rPr>
          <w:b w:val="false"/>
          <w:bCs w:val="false"/>
        </w:rPr>
      </w:r>
    </w:p>
    <w:p>
      <w:pPr>
        <w:pStyle w:val="Normal"/>
        <w:jc w:val="both"/>
        <w:rPr>
          <w:b w:val="false"/>
          <w:bCs w:val="false"/>
        </w:rPr>
      </w:pPr>
      <w:r>
        <w:rPr>
          <w:b w:val="false"/>
          <w:bCs w:val="false"/>
        </w:rPr>
        <w:t>"Қызметкерді еңбек (қызметтік) міндеттерін атқарған кезде оны жазатайым оқиғалардан міндетті сақтандыру туралы"Заңға сәйкес қызметкерді жазатайым оқиғалардан міндетті сақтандыру шарты бойынша сақтандыру сыйлықақысының мөлшерін және оны төлеу тәртібін айқындау (сондай-ақ түзету коэффициентін қолдану тәртібі).</w:t>
      </w:r>
    </w:p>
    <w:p>
      <w:pPr>
        <w:pStyle w:val="Normal"/>
        <w:jc w:val="both"/>
        <w:rPr>
          <w:b w:val="false"/>
          <w:bCs w:val="false"/>
        </w:rPr>
      </w:pPr>
      <w:r>
        <w:rPr>
          <w:b w:val="false"/>
          <w:bCs w:val="false"/>
        </w:rPr>
      </w:r>
    </w:p>
    <w:p>
      <w:pPr>
        <w:pStyle w:val="Normal"/>
        <w:jc w:val="both"/>
        <w:rPr>
          <w:b w:val="false"/>
          <w:bCs w:val="false"/>
        </w:rPr>
      </w:pPr>
      <w:r>
        <w:rPr>
          <w:b w:val="false"/>
          <w:bCs w:val="false"/>
        </w:rPr>
        <w:t>Келтірілген зиянның мөлшерін айқындау, қызметкерді еңбекке қабілеттілігінен айырылу дәрежесін айқындауға куәландыру тәртібі, аннуитет шартын жасасу, сондай-ақ қызметкерді жазатайым оқиғалардан міндетті сақтандыру шарты бойынша сақтандыру төлемдерін жүзеге асырудың талаптары, тәртібі мен мерзімдері "қызметкерді еңбек (қызметтік) міндеттерін атқарған кезде оны жазатайым оқиғалардан міндетті сақтандыру туралы"ҚР Заңына сәйкес.</w:t>
      </w:r>
    </w:p>
    <w:p>
      <w:pPr>
        <w:pStyle w:val="Normal"/>
        <w:jc w:val="both"/>
        <w:rPr>
          <w:b w:val="false"/>
          <w:bCs w:val="false"/>
        </w:rPr>
      </w:pPr>
      <w:r>
        <w:rPr>
          <w:b w:val="false"/>
          <w:bCs w:val="false"/>
        </w:rPr>
      </w:r>
    </w:p>
    <w:p>
      <w:pPr>
        <w:pStyle w:val="Normal"/>
        <w:jc w:val="both"/>
        <w:rPr>
          <w:b w:val="false"/>
          <w:bCs w:val="false"/>
        </w:rPr>
      </w:pPr>
      <w:r>
        <w:rPr>
          <w:b w:val="false"/>
          <w:bCs w:val="false"/>
        </w:rPr>
        <w:t>жоғарыда аталған заңға, сондай-ақ ҚР Мемлекеттік сатып алу саласындағы заңнамасына және өзге де НҚА сәйкес дауларды реттеу.</w:t>
      </w:r>
    </w:p>
    <w:p>
      <w:pPr>
        <w:pStyle w:val="Normal"/>
        <w:jc w:val="both"/>
        <w:rPr>
          <w:b w:val="false"/>
          <w:bCs w:val="false"/>
        </w:rPr>
      </w:pPr>
      <w:r>
        <w:rPr>
          <w:b w:val="false"/>
          <w:bCs w:val="false"/>
        </w:rPr>
      </w:r>
    </w:p>
    <w:p>
      <w:pPr>
        <w:pStyle w:val="Normal"/>
        <w:jc w:val="both"/>
        <w:rPr>
          <w:rFonts w:ascii="Times New Roman" w:hAnsi="Times New Roman"/>
          <w:b w:val="false"/>
          <w:bCs w:val="false"/>
          <w:i w:val="false"/>
          <w:i w:val="false"/>
          <w:caps w:val="false"/>
          <w:smallCaps w:val="false"/>
          <w:color w:val="333333"/>
          <w:spacing w:val="0"/>
          <w:sz w:val="28"/>
          <w:szCs w:val="28"/>
        </w:rPr>
      </w:pPr>
      <w:r>
        <w:rPr>
          <w:rFonts w:ascii="Times New Roman" w:hAnsi="Times New Roman"/>
          <w:b w:val="false"/>
          <w:bCs w:val="false"/>
          <w:i w:val="false"/>
          <w:caps w:val="false"/>
          <w:smallCaps w:val="false"/>
          <w:color w:val="333333"/>
          <w:spacing w:val="0"/>
          <w:sz w:val="28"/>
          <w:szCs w:val="28"/>
        </w:rPr>
        <w:t>Қызмет көрсету мерзімі-Тапсырыс берушінің өтініміне сәйкес 12 ай ішінде (сақтандырудың басталуы өтінімде көрсетіледі).</w:t>
      </w:r>
    </w:p>
    <w:p>
      <w:pPr>
        <w:pStyle w:val="Normal"/>
        <w:jc w:val="both"/>
        <w:rPr>
          <w:rFonts w:ascii="Times New Roman" w:hAnsi="Times New Roman"/>
          <w:b w:val="false"/>
          <w:bCs w:val="false"/>
          <w:i w:val="false"/>
          <w:i w:val="false"/>
          <w:caps w:val="false"/>
          <w:smallCaps w:val="false"/>
          <w:color w:val="333333"/>
          <w:spacing w:val="0"/>
          <w:sz w:val="28"/>
          <w:szCs w:val="28"/>
        </w:rPr>
      </w:pPr>
      <w:r>
        <w:rPr>
          <w:rFonts w:ascii="Times New Roman" w:hAnsi="Times New Roman"/>
          <w:b w:val="false"/>
          <w:bCs w:val="false"/>
          <w:i w:val="false"/>
          <w:caps w:val="false"/>
          <w:smallCaps w:val="false"/>
          <w:color w:val="333333"/>
          <w:spacing w:val="0"/>
          <w:sz w:val="28"/>
          <w:szCs w:val="28"/>
        </w:rPr>
      </w:r>
    </w:p>
    <w:tbl>
      <w:tblPr>
        <w:tblStyle w:val="TableGrid"/>
        <w:tblW w:w="10423" w:type="dxa"/>
        <w:jc w:val="left"/>
        <w:tblInd w:w="-108" w:type="dxa"/>
        <w:tblLayout w:type="fixed"/>
        <w:tblCellMar>
          <w:top w:w="2" w:type="dxa"/>
          <w:left w:w="5" w:type="dxa"/>
          <w:bottom w:w="0" w:type="dxa"/>
          <w:right w:w="5" w:type="dxa"/>
        </w:tblCellMar>
        <w:tblLook w:val="04a0"/>
      </w:tblPr>
      <w:tblGrid>
        <w:gridCol w:w="4590"/>
        <w:gridCol w:w="75"/>
        <w:gridCol w:w="5306"/>
        <w:gridCol w:w="451"/>
      </w:tblGrid>
      <w:tr>
        <w:trPr>
          <w:trHeight w:val="263" w:hRule="atLeast"/>
        </w:trPr>
        <w:tc>
          <w:tcPr>
            <w:tcW w:w="45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08"/>
              <w:jc w:val="left"/>
              <w:rPr>
                <w:kern w:val="0"/>
                <w:sz w:val="22"/>
                <w:szCs w:val="22"/>
                <w:lang w:val="ru-RU" w:eastAsia="ru-RU" w:bidi="ar-SA"/>
              </w:rPr>
            </w:pPr>
            <w:r>
              <w:rPr>
                <w:kern w:val="0"/>
                <w:sz w:val="22"/>
                <w:szCs w:val="22"/>
                <w:lang w:val="ru-RU" w:eastAsia="ru-RU" w:bidi="ar-SA"/>
              </w:rPr>
            </w:r>
          </w:p>
          <w:p>
            <w:pPr>
              <w:pStyle w:val="Normal"/>
              <w:widowControl w:val="false"/>
              <w:suppressAutoHyphens w:val="true"/>
              <w:spacing w:lineRule="auto" w:line="259" w:before="0" w:after="0"/>
              <w:ind w:hanging="0" w:left="108"/>
              <w:jc w:val="left"/>
              <w:rPr>
                <w:kern w:val="0"/>
                <w:sz w:val="22"/>
                <w:szCs w:val="22"/>
                <w:lang w:val="ru-RU" w:eastAsia="ru-RU" w:bidi="ar-SA"/>
              </w:rPr>
            </w:pPr>
            <w:r>
              <w:rPr>
                <w:b/>
                <w:kern w:val="0"/>
                <w:sz w:val="22"/>
                <w:szCs w:val="22"/>
                <w:lang w:val="ru-RU" w:eastAsia="ru-RU" w:bidi="ar-SA"/>
              </w:rPr>
              <w:t>ТАПСЫРЫС БЕРУШІНІҢ АТАУЫ:</w:t>
            </w:r>
          </w:p>
        </w:tc>
        <w:tc>
          <w:tcPr>
            <w:tcW w:w="75" w:type="dxa"/>
            <w:tcBorders>
              <w:top w:val="single" w:sz="4" w:space="0" w:color="000000"/>
              <w:left w:val="single" w:sz="4" w:space="0" w:color="000000"/>
              <w:bottom w:val="single" w:sz="4" w:space="0" w:color="000000"/>
            </w:tcBorders>
          </w:tcPr>
          <w:p>
            <w:pPr>
              <w:pStyle w:val="Normal"/>
              <w:widowControl w:val="false"/>
              <w:suppressAutoHyphens w:val="true"/>
              <w:spacing w:lineRule="auto" w:line="259" w:before="0" w:after="160"/>
              <w:ind w:hanging="0" w:left="0"/>
              <w:jc w:val="left"/>
              <w:rPr>
                <w:kern w:val="0"/>
                <w:sz w:val="22"/>
                <w:szCs w:val="22"/>
                <w:lang w:val="ru-RU" w:eastAsia="ru-RU" w:bidi="ar-SA"/>
              </w:rPr>
            </w:pPr>
            <w:r>
              <w:rPr>
                <w:kern w:val="0"/>
                <w:sz w:val="22"/>
                <w:szCs w:val="22"/>
                <w:lang w:val="ru-RU" w:eastAsia="ru-RU" w:bidi="ar-SA"/>
              </w:rPr>
            </w:r>
          </w:p>
        </w:tc>
        <w:tc>
          <w:tcPr>
            <w:tcW w:w="5306" w:type="dxa"/>
            <w:tcBorders>
              <w:top w:val="single" w:sz="4" w:space="0" w:color="000000"/>
            </w:tcBorders>
            <w:shd w:color="auto" w:fill="auto" w:val="clear"/>
          </w:tcPr>
          <w:p>
            <w:pPr>
              <w:pStyle w:val="Normal"/>
              <w:widowControl w:val="false"/>
              <w:suppressAutoHyphens w:val="true"/>
              <w:spacing w:before="0" w:after="4"/>
              <w:rPr>
                <w:kern w:val="0"/>
                <w:sz w:val="22"/>
                <w:szCs w:val="22"/>
                <w:lang w:val="ru-RU" w:eastAsia="ru-RU" w:bidi="ar-SA"/>
              </w:rPr>
            </w:pPr>
            <w:r>
              <w:rPr>
                <w:kern w:val="0"/>
                <w:sz w:val="22"/>
                <w:szCs w:val="22"/>
                <w:lang w:val="ru-RU" w:eastAsia="ru-RU" w:bidi="ar-SA"/>
              </w:rPr>
              <w:t>"Жайықжылуқуат" АҚ</w:t>
            </w:r>
          </w:p>
        </w:tc>
        <w:tc>
          <w:tcPr>
            <w:tcW w:w="451" w:type="dxa"/>
            <w:tcBorders>
              <w:top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59" w:before="0" w:after="0"/>
              <w:ind w:hanging="0" w:left="-3"/>
              <w:jc w:val="left"/>
              <w:rPr>
                <w:kern w:val="0"/>
                <w:sz w:val="22"/>
                <w:szCs w:val="22"/>
                <w:lang w:val="ru-RU" w:eastAsia="ru-RU" w:bidi="ar-SA"/>
              </w:rPr>
            </w:pPr>
            <w:r>
              <w:rPr>
                <w:kern w:val="0"/>
                <w:sz w:val="22"/>
                <w:szCs w:val="22"/>
                <w:lang w:val="ru-RU" w:eastAsia="ru-RU" w:bidi="ar-SA"/>
              </w:rPr>
            </w:r>
          </w:p>
        </w:tc>
      </w:tr>
      <w:tr>
        <w:trPr>
          <w:trHeight w:val="1944" w:hRule="atLeast"/>
        </w:trPr>
        <w:tc>
          <w:tcPr>
            <w:tcW w:w="4590" w:type="dxa"/>
            <w:tcBorders>
              <w:top w:val="single" w:sz="4" w:space="0" w:color="000000"/>
              <w:left w:val="single" w:sz="4" w:space="0" w:color="000000"/>
              <w:bottom w:val="single" w:sz="4" w:space="0" w:color="000000"/>
            </w:tcBorders>
          </w:tcPr>
          <w:p>
            <w:pPr>
              <w:pStyle w:val="Normal"/>
              <w:widowControl w:val="false"/>
              <w:suppressAutoHyphens w:val="true"/>
              <w:spacing w:lineRule="auto" w:line="259" w:before="0" w:after="0"/>
              <w:ind w:hanging="0" w:left="108"/>
              <w:jc w:val="left"/>
              <w:rPr>
                <w:rFonts w:ascii="Times New Roman" w:hAnsi="Times New Roman" w:eastAsia="Times New Roman" w:cs="Times New Roman"/>
                <w:color w:val="000000"/>
                <w:kern w:val="0"/>
                <w:sz w:val="22"/>
                <w:szCs w:val="22"/>
                <w:lang w:val="ru-RU" w:eastAsia="ru-RU" w:bidi="ar-SA"/>
              </w:rPr>
            </w:pPr>
            <w:r>
              <w:rPr>
                <w:rFonts w:eastAsia="Times New Roman" w:cs="Times New Roman"/>
                <w:b/>
                <w:color w:val="000000"/>
                <w:kern w:val="0"/>
                <w:sz w:val="22"/>
                <w:szCs w:val="22"/>
                <w:lang w:val="ru-RU" w:eastAsia="ru-RU" w:bidi="ar-SA"/>
              </w:rPr>
              <w:t>НАҚТЫ ОРНАЛАСҚАН ЖЕРІНІҢ МЕКЕНЖАЙЫ</w:t>
            </w:r>
          </w:p>
          <w:p>
            <w:pPr>
              <w:pStyle w:val="Normal"/>
              <w:widowControl w:val="false"/>
              <w:suppressAutoHyphens w:val="true"/>
              <w:spacing w:lineRule="auto" w:line="259" w:before="0" w:after="0"/>
              <w:ind w:hanging="0" w:left="108" w:right="81"/>
              <w:jc w:val="left"/>
              <w:rPr>
                <w:rFonts w:ascii="Times New Roman" w:hAnsi="Times New Roman" w:eastAsia="Times New Roman" w:cs="Times New Roman"/>
                <w:color w:val="000000"/>
                <w:kern w:val="0"/>
                <w:sz w:val="22"/>
                <w:szCs w:val="22"/>
                <w:lang w:val="ru-RU" w:eastAsia="ru-RU" w:bidi="ar-SA"/>
              </w:rPr>
            </w:pPr>
            <w:r>
              <w:rPr>
                <w:rFonts w:eastAsia="Times New Roman" w:cs="Times New Roman"/>
                <w:color w:val="000000"/>
                <w:kern w:val="0"/>
                <w:sz w:val="22"/>
                <w:szCs w:val="22"/>
                <w:lang w:val="ru-RU" w:eastAsia="ru-RU" w:bidi="ar-SA"/>
              </w:rPr>
            </w:r>
          </w:p>
        </w:tc>
        <w:tc>
          <w:tcPr>
            <w:tcW w:w="5832" w:type="dxa"/>
            <w:gridSpan w:val="3"/>
            <w:tcBorders>
              <w:top w:val="single" w:sz="4" w:space="0" w:color="000000"/>
              <w:bottom w:val="single" w:sz="4" w:space="0" w:color="000000"/>
              <w:right w:val="single" w:sz="4" w:space="0" w:color="000000"/>
            </w:tcBorders>
          </w:tcPr>
          <w:p>
            <w:pPr>
              <w:pStyle w:val="Normal"/>
              <w:widowControl w:val="false"/>
              <w:suppressAutoHyphens w:val="true"/>
              <w:spacing w:before="0" w:after="4"/>
              <w:ind w:hanging="10" w:left="111" w:right="256"/>
              <w:rPr>
                <w:rFonts w:ascii="Times New Roman" w:hAnsi="Times New Roman" w:eastAsia="Times New Roman" w:cs="Times New Roman"/>
                <w:color w:val="000000"/>
                <w:kern w:val="0"/>
                <w:sz w:val="22"/>
                <w:szCs w:val="22"/>
                <w:lang w:val="ru-RU" w:eastAsia="ru-RU" w:bidi="ar-SA"/>
              </w:rPr>
            </w:pPr>
            <w:r>
              <w:rPr>
                <w:rFonts w:eastAsia="Times New Roman" w:cs="Times New Roman"/>
                <w:color w:val="000000"/>
                <w:kern w:val="0"/>
                <w:sz w:val="22"/>
                <w:szCs w:val="22"/>
                <w:shd w:fill="F9F9F9" w:val="clear"/>
                <w:lang w:val="ru-RU" w:eastAsia="ru-RU" w:bidi="ar-SA"/>
              </w:rPr>
              <w:t>Батыс Қазақстан облысы, Орал қ., ЖЭО ауданы, 13 құрылыс</w:t>
            </w:r>
          </w:p>
        </w:tc>
      </w:tr>
      <w:tr>
        <w:trPr>
          <w:trHeight w:val="838" w:hRule="atLeast"/>
        </w:trPr>
        <w:tc>
          <w:tcPr>
            <w:tcW w:w="4590" w:type="dxa"/>
            <w:tcBorders>
              <w:top w:val="single" w:sz="4" w:space="0" w:color="000000"/>
              <w:left w:val="single" w:sz="4" w:space="0" w:color="000000"/>
              <w:bottom w:val="single" w:sz="4" w:space="0" w:color="000000"/>
            </w:tcBorders>
          </w:tcPr>
          <w:p>
            <w:pPr>
              <w:pStyle w:val="Normal"/>
              <w:widowControl w:val="false"/>
              <w:suppressAutoHyphens w:val="true"/>
              <w:spacing w:lineRule="auto" w:line="259" w:before="0" w:after="0"/>
              <w:ind w:hanging="0" w:left="108"/>
              <w:jc w:val="left"/>
              <w:rPr>
                <w:rFonts w:ascii="Times New Roman" w:hAnsi="Times New Roman" w:eastAsia="Times New Roman" w:cs="Times New Roman"/>
                <w:color w:val="000000"/>
                <w:kern w:val="0"/>
                <w:sz w:val="22"/>
                <w:szCs w:val="22"/>
                <w:lang w:val="ru-RU" w:eastAsia="ru-RU" w:bidi="ar-SA"/>
              </w:rPr>
            </w:pPr>
            <w:r>
              <w:rPr>
                <w:rFonts w:eastAsia="Times New Roman" w:cs="Times New Roman"/>
                <w:b/>
                <w:color w:val="000000"/>
                <w:kern w:val="0"/>
                <w:sz w:val="22"/>
                <w:szCs w:val="22"/>
                <w:lang w:val="ru-RU" w:eastAsia="ru-RU" w:bidi="ar-SA"/>
              </w:rPr>
              <w:t>САТЫП АЛУ ПӘНІ:</w:t>
            </w:r>
          </w:p>
        </w:tc>
        <w:tc>
          <w:tcPr>
            <w:tcW w:w="5832" w:type="dxa"/>
            <w:gridSpan w:val="3"/>
            <w:tcBorders>
              <w:top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10" w:right="108"/>
              <w:rPr>
                <w:rFonts w:ascii="Times New Roman" w:hAnsi="Times New Roman" w:eastAsia="Times New Roman" w:cs="Times New Roman"/>
                <w:color w:val="000000"/>
                <w:kern w:val="0"/>
                <w:sz w:val="22"/>
                <w:szCs w:val="22"/>
                <w:lang w:val="ru-RU" w:eastAsia="ru-RU" w:bidi="ar-SA"/>
              </w:rPr>
            </w:pPr>
            <w:r>
              <w:rPr>
                <w:rFonts w:eastAsia="Times New Roman" w:cs="Times New Roman"/>
                <w:b w:val="false"/>
                <w:i w:val="false"/>
                <w:caps w:val="false"/>
                <w:smallCaps w:val="false"/>
                <w:color w:val="000000"/>
                <w:spacing w:val="0"/>
                <w:kern w:val="0"/>
                <w:sz w:val="22"/>
                <w:szCs w:val="22"/>
                <w:lang w:val="ru-RU" w:eastAsia="ru-RU" w:bidi="ar-SA"/>
              </w:rPr>
              <w:t>Қызметкерлерді еңбек (қызметтік) міндеттерін атқарған кезде оларды жазатайым оқиғалардан міндетті сақтандыру</w:t>
            </w:r>
          </w:p>
        </w:tc>
      </w:tr>
      <w:tr>
        <w:trPr>
          <w:trHeight w:val="317" w:hRule="atLeast"/>
        </w:trPr>
        <w:tc>
          <w:tcPr>
            <w:tcW w:w="1042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08"/>
              <w:jc w:val="left"/>
              <w:rPr>
                <w:kern w:val="0"/>
                <w:sz w:val="22"/>
                <w:szCs w:val="22"/>
                <w:lang w:val="ru-RU" w:eastAsia="ru-RU" w:bidi="ar-SA"/>
              </w:rPr>
            </w:pPr>
            <w:r>
              <w:rPr>
                <w:b/>
                <w:kern w:val="0"/>
                <w:sz w:val="22"/>
                <w:szCs w:val="22"/>
                <w:lang w:val="ru-RU" w:eastAsia="ru-RU" w:bidi="ar-SA"/>
              </w:rPr>
              <w:t>КӨРСЕТІЛЕТІН ҚЫЗМЕТТЕРДІҢ АТАУЫ, СИПАТТАМАСЫ, САНЫ:</w:t>
            </w:r>
          </w:p>
        </w:tc>
      </w:tr>
      <w:tr>
        <w:trPr>
          <w:trHeight w:val="898" w:hRule="atLeast"/>
        </w:trPr>
        <w:tc>
          <w:tcPr>
            <w:tcW w:w="45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08"/>
              <w:jc w:val="left"/>
              <w:rPr>
                <w:kern w:val="0"/>
                <w:sz w:val="22"/>
                <w:szCs w:val="22"/>
                <w:lang w:val="ru-RU" w:eastAsia="ru-RU" w:bidi="ar-SA"/>
              </w:rPr>
            </w:pPr>
            <w:r>
              <w:rPr>
                <w:b/>
                <w:kern w:val="0"/>
                <w:sz w:val="22"/>
                <w:szCs w:val="22"/>
                <w:lang w:val="ru-RU" w:eastAsia="ru-RU" w:bidi="ar-SA"/>
              </w:rPr>
              <w:t>САҚТАНДЫРУ ОБЪЕКТІСІ:</w:t>
            </w:r>
          </w:p>
        </w:tc>
        <w:tc>
          <w:tcPr>
            <w:tcW w:w="5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10" w:right="109"/>
              <w:rPr>
                <w:rFonts w:ascii="Times New Roman" w:hAnsi="Times New Roman" w:eastAsia="Times New Roman" w:cs="Times New Roman"/>
                <w:color w:val="000000"/>
                <w:kern w:val="0"/>
                <w:sz w:val="22"/>
                <w:szCs w:val="22"/>
                <w:lang w:val="ru-RU" w:eastAsia="ru-RU" w:bidi="ar-SA"/>
              </w:rPr>
            </w:pPr>
            <w:r>
              <w:rPr>
                <w:rFonts w:eastAsia="Times New Roman" w:cs="Times New Roman"/>
                <w:b w:val="false"/>
                <w:i w:val="false"/>
                <w:caps w:val="false"/>
                <w:smallCaps w:val="false"/>
                <w:color w:val="000000"/>
                <w:spacing w:val="0"/>
                <w:kern w:val="0"/>
                <w:sz w:val="22"/>
                <w:szCs w:val="22"/>
                <w:lang w:val="ru-RU" w:eastAsia="ru-RU" w:bidi="ar-SA"/>
              </w:rPr>
              <w:t>Қызметкерлерді еңбек (қызметтік) міндеттерін атқарған кезде оларды жазатайым оқиғалардан міндетті сақтандыру</w:t>
            </w:r>
          </w:p>
        </w:tc>
      </w:tr>
      <w:tr>
        <w:trPr>
          <w:trHeight w:val="4151" w:hRule="atLeast"/>
        </w:trPr>
        <w:tc>
          <w:tcPr>
            <w:tcW w:w="45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08"/>
              <w:jc w:val="left"/>
              <w:rPr>
                <w:kern w:val="0"/>
                <w:sz w:val="22"/>
                <w:szCs w:val="22"/>
                <w:lang w:val="ru-RU" w:eastAsia="ru-RU" w:bidi="ar-SA"/>
              </w:rPr>
            </w:pPr>
            <w:r>
              <w:rPr>
                <w:b/>
                <w:kern w:val="0"/>
                <w:sz w:val="22"/>
                <w:szCs w:val="22"/>
                <w:lang w:val="ru-RU" w:eastAsia="ru-RU" w:bidi="ar-SA"/>
              </w:rPr>
              <w:t>САҚТАНДЫРУ ЖАҒДАЙЛАРЫ:</w:t>
            </w:r>
          </w:p>
          <w:p>
            <w:pPr>
              <w:pStyle w:val="Normal"/>
              <w:widowControl w:val="false"/>
              <w:suppressAutoHyphens w:val="true"/>
              <w:spacing w:lineRule="auto" w:line="259" w:before="0" w:after="0"/>
              <w:ind w:hanging="0" w:left="108"/>
              <w:jc w:val="left"/>
              <w:rPr>
                <w:kern w:val="0"/>
                <w:sz w:val="22"/>
                <w:szCs w:val="22"/>
                <w:lang w:val="ru-RU" w:eastAsia="ru-RU" w:bidi="ar-SA"/>
              </w:rPr>
            </w:pPr>
            <w:r>
              <w:rPr>
                <w:kern w:val="0"/>
                <w:sz w:val="22"/>
                <w:szCs w:val="22"/>
                <w:lang w:val="ru-RU" w:eastAsia="ru-RU" w:bidi="ar-SA"/>
              </w:rPr>
            </w:r>
          </w:p>
          <w:p>
            <w:pPr>
              <w:pStyle w:val="Normal"/>
              <w:widowControl w:val="false"/>
              <w:suppressAutoHyphens w:val="true"/>
              <w:spacing w:lineRule="auto" w:line="259" w:before="0" w:after="0"/>
              <w:ind w:hanging="0" w:left="108"/>
              <w:jc w:val="left"/>
              <w:rPr>
                <w:kern w:val="0"/>
                <w:sz w:val="22"/>
                <w:szCs w:val="22"/>
                <w:lang w:val="ru-RU" w:eastAsia="ru-RU" w:bidi="ar-SA"/>
              </w:rPr>
            </w:pPr>
            <w:r>
              <w:rPr>
                <w:kern w:val="0"/>
                <w:sz w:val="22"/>
                <w:szCs w:val="22"/>
                <w:lang w:val="ru-RU" w:eastAsia="ru-RU" w:bidi="ar-SA"/>
              </w:rPr>
            </w:r>
          </w:p>
        </w:tc>
        <w:tc>
          <w:tcPr>
            <w:tcW w:w="5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22" w:right="108"/>
              <w:rPr>
                <w:kern w:val="0"/>
                <w:sz w:val="22"/>
                <w:szCs w:val="22"/>
                <w:lang w:val="ru-RU" w:eastAsia="ru-RU" w:bidi="ar-SA"/>
              </w:rPr>
            </w:pPr>
            <w:r>
              <w:rPr>
                <w:kern w:val="0"/>
                <w:sz w:val="22"/>
                <w:szCs w:val="22"/>
                <w:lang w:val="ru-RU" w:eastAsia="ru-RU" w:bidi="ar-SA"/>
              </w:rPr>
              <w:t>қызметкер (қызметкерлер) еңбек (қызметтік) міндеттерін атқарған кезде оның (олардың) еңбек (қызметтік) міндеттерін орындауы кезінде зиянды және (немесе) қауіпті өндірістік фактордың әсер етуі салдарынан қызметкердің өндірістік жарақаттануы, денсаулығының кенеттен нашарлауы немесе улануы орын алған, оның еңбек (қызметтік) міндеттерін орындауына әкеп соққан жазатайым оқиға (жазатайым оқиға) Қазақстан Республикасының заңдарында көзделген мән-жайларда оған кәсіптік еңбекке қабілеттілігінен айрылу, кәсіптік ауруға шалдығу не қайтыс болу дәрежелері көрсетіледі. Жұмыс орнындағы жұмыс уақыты ішінде, жұмыскердің жүру жолында, оның ішінде жұмыс берушінің тапсырмасы бойынша, сондай-ақ Еңбек міндеттерін орындау кезінде іссапар уақытында;</w:t>
            </w:r>
            <w:r>
              <w:rPr>
                <w:sz w:val="22"/>
              </w:rPr>
              <w:t>(заңнамада көзделген өзге де жағдайлар)</w:t>
            </w:r>
          </w:p>
        </w:tc>
      </w:tr>
      <w:tr>
        <w:trPr>
          <w:trHeight w:val="840" w:hRule="atLeast"/>
        </w:trPr>
        <w:tc>
          <w:tcPr>
            <w:tcW w:w="45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kern w:val="0"/>
                <w:sz w:val="22"/>
                <w:szCs w:val="22"/>
                <w:lang w:val="ru-RU" w:eastAsia="ru-RU" w:bidi="ar-SA"/>
              </w:rPr>
            </w:pPr>
            <w:r>
              <w:rPr>
                <w:b/>
                <w:kern w:val="0"/>
                <w:sz w:val="22"/>
                <w:szCs w:val="22"/>
                <w:lang w:val="ru-RU" w:eastAsia="ru-RU" w:bidi="ar-SA"/>
              </w:rPr>
              <w:t>САҚТАНДЫРУ ТӨЛЕМДЕРІ:</w:t>
            </w:r>
          </w:p>
        </w:tc>
        <w:tc>
          <w:tcPr>
            <w:tcW w:w="5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2" w:right="58"/>
              <w:rPr>
                <w:kern w:val="0"/>
                <w:sz w:val="22"/>
                <w:szCs w:val="22"/>
                <w:lang w:val="ru-RU" w:eastAsia="ru-RU" w:bidi="ar-SA"/>
              </w:rPr>
            </w:pPr>
            <w:r>
              <w:rPr>
                <w:kern w:val="0"/>
                <w:sz w:val="22"/>
                <w:szCs w:val="22"/>
                <w:lang w:val="ru-RU" w:eastAsia="ru-RU" w:bidi="ar-SA"/>
              </w:rPr>
              <w:t>сақтандыру жағдайы басталған кезде сақтандырушы пайда алушыға сақтандыру сомасы шегінде төлейтін ақша сомасы</w:t>
            </w:r>
          </w:p>
        </w:tc>
      </w:tr>
      <w:tr>
        <w:trPr>
          <w:trHeight w:val="1114" w:hRule="atLeast"/>
        </w:trPr>
        <w:tc>
          <w:tcPr>
            <w:tcW w:w="45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kern w:val="0"/>
                <w:sz w:val="22"/>
                <w:szCs w:val="22"/>
                <w:lang w:val="ru-RU" w:eastAsia="ru-RU" w:bidi="ar-SA"/>
              </w:rPr>
            </w:pPr>
            <w:r>
              <w:rPr>
                <w:b/>
                <w:kern w:val="0"/>
                <w:sz w:val="22"/>
                <w:szCs w:val="22"/>
                <w:lang w:val="ru-RU" w:eastAsia="ru-RU" w:bidi="ar-SA"/>
              </w:rPr>
              <w:t>САҚТАНДЫРУ АУМАҒЫ, КЕЗЕҢІ:</w:t>
            </w:r>
          </w:p>
        </w:tc>
        <w:tc>
          <w:tcPr>
            <w:tcW w:w="5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lineRule="auto" w:line="264" w:before="0" w:after="4"/>
              <w:ind w:hanging="10" w:left="111"/>
              <w:jc w:val="both"/>
              <w:rPr>
                <w:sz w:val="22"/>
              </w:rPr>
            </w:pPr>
            <w:r>
              <w:rPr>
                <w:sz w:val="22"/>
              </w:rPr>
              <w:t>сақтандырылушының жұмыс орны не сақтандырылушының еңбек (қызметтік) міндеттерін орындауына байланысты басқа орналасқан жері, бір жыл.</w:t>
            </w:r>
          </w:p>
        </w:tc>
      </w:tr>
      <w:tr>
        <w:trPr>
          <w:trHeight w:val="1114" w:hRule="atLeast"/>
        </w:trPr>
        <w:tc>
          <w:tcPr>
            <w:tcW w:w="45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b/>
              </w:rPr>
            </w:pPr>
            <w:r>
              <w:rPr>
                <w:b/>
                <w:kern w:val="0"/>
                <w:sz w:val="22"/>
                <w:szCs w:val="22"/>
                <w:lang w:val="ru-RU" w:eastAsia="ru-RU" w:bidi="ar-SA"/>
              </w:rPr>
              <w:t>КӘСІПТІК ТӘУЕКЕЛ СЫНЫБЫ:</w:t>
            </w:r>
          </w:p>
        </w:tc>
        <w:tc>
          <w:tcPr>
            <w:tcW w:w="5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2" w:right="86"/>
              <w:rPr>
                <w:kern w:val="0"/>
                <w:sz w:val="22"/>
                <w:szCs w:val="22"/>
                <w:lang w:val="ru-RU" w:eastAsia="ru-RU" w:bidi="ar-SA"/>
              </w:rPr>
            </w:pPr>
            <w:r>
              <w:rPr>
                <w:sz w:val="22"/>
              </w:rPr>
              <w:t>1</w:t>
            </w:r>
            <w:r>
              <w:rPr>
                <w:rFonts w:eastAsia="Times New Roman" w:cs="Times New Roman"/>
                <w:color w:val="000000"/>
                <w:kern w:val="0"/>
                <w:sz w:val="22"/>
                <w:szCs w:val="22"/>
                <w:lang w:val="ru-RU" w:eastAsia="ru-RU" w:bidi="ar-SA"/>
              </w:rPr>
              <w:t>0</w:t>
            </w:r>
          </w:p>
        </w:tc>
      </w:tr>
      <w:tr>
        <w:trPr>
          <w:trHeight w:val="838" w:hRule="atLeast"/>
        </w:trPr>
        <w:tc>
          <w:tcPr>
            <w:tcW w:w="45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kern w:val="0"/>
                <w:sz w:val="22"/>
                <w:szCs w:val="22"/>
                <w:lang w:val="ru-RU" w:eastAsia="ru-RU" w:bidi="ar-SA"/>
              </w:rPr>
            </w:pPr>
            <w:r>
              <w:rPr>
                <w:b/>
                <w:kern w:val="0"/>
                <w:sz w:val="22"/>
                <w:szCs w:val="22"/>
                <w:lang w:val="ru-RU" w:eastAsia="ru-RU" w:bidi="ar-SA"/>
              </w:rPr>
              <w:t>САҚТАНДЫРУ ПОЛИСІНІҢ ҚОЛДАНЫЛУ МЕРЗІМІ:</w:t>
            </w:r>
          </w:p>
        </w:tc>
        <w:tc>
          <w:tcPr>
            <w:tcW w:w="5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right="59"/>
              <w:rPr>
                <w:highlight w:val="yellow"/>
              </w:rPr>
            </w:pPr>
            <w:r>
              <w:rPr>
                <w:kern w:val="0"/>
                <w:sz w:val="22"/>
                <w:szCs w:val="22"/>
                <w:lang w:val="ru-RU" w:eastAsia="ru-RU" w:bidi="ar-SA"/>
              </w:rPr>
              <w:t xml:space="preserve"> </w:t>
            </w:r>
            <w:r>
              <w:rPr>
                <w:sz w:val="22"/>
              </w:rPr>
              <w:t>Тапсырыс берушінің өтініміне сәйкес 12 ай ішінде (сақтандырудың басталуы өтінімде көрсетіледі).</w:t>
            </w:r>
          </w:p>
        </w:tc>
      </w:tr>
      <w:tr>
        <w:trPr>
          <w:trHeight w:val="583" w:hRule="atLeast"/>
        </w:trPr>
        <w:tc>
          <w:tcPr>
            <w:tcW w:w="45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b/>
              </w:rPr>
            </w:pPr>
            <w:r>
              <w:rPr>
                <w:b/>
                <w:kern w:val="0"/>
                <w:sz w:val="22"/>
                <w:szCs w:val="22"/>
                <w:lang w:val="ru-RU" w:eastAsia="ru-RU" w:bidi="ar-SA"/>
              </w:rPr>
              <w:t>ҚЫЗМЕТКЕРЛЕР САНЫ:</w:t>
            </w:r>
          </w:p>
        </w:tc>
        <w:tc>
          <w:tcPr>
            <w:tcW w:w="5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rPr>
                <w:bCs/>
                <w:kern w:val="0"/>
                <w:sz w:val="22"/>
                <w:szCs w:val="22"/>
                <w:highlight w:val="none"/>
                <w:shd w:fill="auto" w:val="clear"/>
                <w:lang w:val="kk-KZ" w:eastAsia="ru-RU" w:bidi="ar-SA"/>
              </w:rPr>
            </w:pPr>
            <w:r>
              <w:rPr>
                <w:bCs/>
                <w:kern w:val="0"/>
                <w:sz w:val="22"/>
                <w:szCs w:val="22"/>
                <w:shd w:fill="auto" w:val="clear"/>
                <w:lang w:val="kk-KZ" w:eastAsia="ru-RU" w:bidi="ar-SA"/>
              </w:rPr>
              <w:t>01.09.2026 – 1008 адамға</w:t>
            </w:r>
          </w:p>
        </w:tc>
      </w:tr>
      <w:tr>
        <w:trPr>
          <w:trHeight w:val="637" w:hRule="atLeast"/>
        </w:trPr>
        <w:tc>
          <w:tcPr>
            <w:tcW w:w="45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rFonts w:ascii="Times New Roman" w:hAnsi="Times New Roman" w:eastAsia="Times New Roman" w:cs="Times New Roman"/>
                <w:b/>
                <w:color w:val="000000"/>
                <w:kern w:val="0"/>
                <w:sz w:val="22"/>
                <w:szCs w:val="22"/>
                <w:lang w:val="ru-RU" w:eastAsia="ru-RU" w:bidi="ar-SA"/>
              </w:rPr>
            </w:pPr>
            <w:r>
              <w:rPr>
                <w:rFonts w:eastAsia="Times New Roman" w:cs="Times New Roman"/>
                <w:b/>
                <w:color w:val="000000"/>
                <w:kern w:val="0"/>
                <w:sz w:val="22"/>
                <w:szCs w:val="22"/>
                <w:lang w:val="ru-RU" w:eastAsia="ru-RU" w:bidi="ar-SA"/>
              </w:rPr>
              <w:t>Еңбекке ақы төлеудің жылдық қоры ЖҚ (сақтандыру сомасы):</w:t>
            </w:r>
          </w:p>
        </w:tc>
        <w:tc>
          <w:tcPr>
            <w:tcW w:w="5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2"/>
              <w:jc w:val="left"/>
              <w:rPr>
                <w:sz w:val="22"/>
              </w:rPr>
            </w:pPr>
            <w:r>
              <w:rPr>
                <w:rFonts w:eastAsia="Times New Roman" w:cs="Times New Roman"/>
                <w:color w:val="000000"/>
                <w:kern w:val="0"/>
                <w:sz w:val="22"/>
                <w:szCs w:val="22"/>
                <w:lang w:val="ru-RU" w:eastAsia="ru-RU" w:bidi="ar-SA"/>
              </w:rPr>
              <w:t>3 473 818 531.20 тенге</w:t>
            </w:r>
          </w:p>
        </w:tc>
      </w:tr>
      <w:tr>
        <w:trPr>
          <w:trHeight w:val="637" w:hRule="atLeast"/>
        </w:trPr>
        <w:tc>
          <w:tcPr>
            <w:tcW w:w="459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0"/>
              <w:jc w:val="left"/>
              <w:rPr>
                <w:rFonts w:ascii="Times New Roman" w:hAnsi="Times New Roman" w:eastAsia="Times New Roman" w:cs="Times New Roman"/>
                <w:b/>
                <w:color w:val="000000"/>
                <w:kern w:val="0"/>
                <w:sz w:val="22"/>
                <w:szCs w:val="22"/>
                <w:lang w:val="ru-RU" w:eastAsia="ru-RU" w:bidi="ar-SA"/>
              </w:rPr>
            </w:pPr>
            <w:r>
              <w:rPr>
                <w:rFonts w:eastAsia="Times New Roman" w:cs="Times New Roman"/>
                <w:b/>
                <w:color w:val="000000"/>
                <w:kern w:val="0"/>
                <w:sz w:val="22"/>
                <w:szCs w:val="22"/>
                <w:lang w:val="ru-RU" w:eastAsia="ru-RU" w:bidi="ar-SA"/>
              </w:rPr>
              <w:t>МІНДЕТТІ САҚТАНДЫРУ ТҮРІНЕ ЛИЦЕНЗИЯ:</w:t>
            </w:r>
          </w:p>
        </w:tc>
        <w:tc>
          <w:tcPr>
            <w:tcW w:w="583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59" w:before="0" w:after="0"/>
              <w:ind w:hanging="0" w:left="110" w:right="108"/>
              <w:jc w:val="left"/>
              <w:rPr>
                <w:rFonts w:ascii="Times New Roman" w:hAnsi="Times New Roman" w:eastAsia="Times New Roman" w:cs="Times New Roman"/>
                <w:color w:val="000000"/>
                <w:kern w:val="0"/>
                <w:sz w:val="22"/>
                <w:szCs w:val="22"/>
                <w:lang w:val="ru-RU" w:eastAsia="ru-RU" w:bidi="ar-SA"/>
              </w:rPr>
            </w:pPr>
            <w:r>
              <w:rPr>
                <w:rFonts w:eastAsia="Times New Roman" w:cs="Times New Roman"/>
                <w:b w:val="false"/>
                <w:i w:val="false"/>
                <w:caps w:val="false"/>
                <w:smallCaps w:val="false"/>
                <w:color w:val="000000"/>
                <w:spacing w:val="0"/>
                <w:kern w:val="0"/>
                <w:sz w:val="22"/>
                <w:szCs w:val="22"/>
                <w:lang w:val="ru-RU" w:eastAsia="ru-RU" w:bidi="ar-SA"/>
              </w:rPr>
              <w:t>Қызметкерлерді еңбек (қызметтік) міндеттерін атқарған кезде оларды жазатайым оқиғалардан міндетті сақтандыру</w:t>
            </w:r>
          </w:p>
        </w:tc>
      </w:tr>
    </w:tbl>
    <w:p>
      <w:pPr>
        <w:pStyle w:val="Normal"/>
        <w:rPr/>
      </w:pPr>
      <w:r>
        <w:rPr/>
      </w:r>
    </w:p>
    <w:p>
      <w:pPr>
        <w:pStyle w:val="Normal"/>
        <w:spacing w:before="0" w:after="4"/>
        <w:jc w:val="left"/>
        <w:rPr/>
      </w:pPr>
      <w:r>
        <w:rPr/>
        <w:t>Жеткізушіге қойылатын талаптар:</w:t>
        <w:br/>
        <w:t xml:space="preserve">    * Заңнама талаптарына сәйкес сақтандыру шарттарын жасасуға байланысты барлық мәселелерді шешудің жеделдігі.  </w:t>
        <w:br/>
        <w:t xml:space="preserve">    * Жеке тәсіл және ең төменгі сақтандыру тарифтері. </w:t>
        <w:br/>
        <w:t xml:space="preserve">    * Толық көлемде төлемдердің уақтылығы.  </w:t>
        <w:br/>
        <w:t xml:space="preserve">    * Тәуекелдерді сапалы қайта сақтандыру. </w:t>
        <w:br/>
        <w:t xml:space="preserve">    * Төлем қабілеттілігінің жоғары нормативтері.</w:t>
      </w:r>
    </w:p>
    <w:sectPr>
      <w:headerReference w:type="even" r:id="rId2"/>
      <w:headerReference w:type="default" r:id="rId3"/>
      <w:headerReference w:type="first" r:id="rId4"/>
      <w:type w:val="nextPage"/>
      <w:pgSz w:w="11906" w:h="16838"/>
      <w:pgMar w:left="1133" w:right="564" w:gutter="0" w:header="710" w:top="1303" w:footer="0" w:bottom="59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Liberation Sans">
    <w:altName w:val="Arial"/>
    <w:charset w:val="cc"/>
    <w:family w:val="swiss"/>
    <w:pitch w:val="variable"/>
  </w:font>
  <w:font w:name="Times New Roman">
    <w:charset w:val="01"/>
    <w:family w:val="roman"/>
    <w:pitch w:val="variable"/>
  </w:font>
  <w:font w:name="Arial">
    <w:charset w:val="01"/>
    <w:family w:val="swiss"/>
    <w:pitch w:val="variable"/>
  </w:font>
  <w:font w:name="Segoe UI Symbol">
    <w:charset w:val="01"/>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4"/>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4"/>
      <w:rPr/>
    </w:pPr>
    <w:r>
      <w:rPr/>
    </w:r>
  </w:p>
  <w:p>
    <w:pPr>
      <w:pStyle w:val="Header"/>
      <w:suppressLineNumbers/>
      <w:spacing w:before="0" w:after="4"/>
      <w:rPr/>
    </w:pPr>
    <w:r>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4"/>
      <w:rPr/>
    </w:pPr>
    <w:r>
      <w:rPr/>
    </w:r>
  </w:p>
  <w:p>
    <w:pPr>
      <w:pStyle w:val="Header"/>
      <w:suppressLineNumbers/>
      <w:spacing w:before="0" w:after="4"/>
      <w:rPr/>
    </w:pP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05" w:hanging="0"/>
      </w:pPr>
      <w:rPr>
        <w:rFonts w:ascii="Arial" w:hAnsi="Arial" w:cs="Arial" w:hint="default"/>
      </w:rPr>
    </w:lvl>
    <w:lvl w:ilvl="1">
      <w:start w:val="1"/>
      <w:numFmt w:val="bullet"/>
      <w:lvlText w:val="o"/>
      <w:lvlJc w:val="left"/>
      <w:pPr>
        <w:tabs>
          <w:tab w:val="num" w:pos="0"/>
        </w:tabs>
        <w:ind w:left="1440" w:hanging="0"/>
      </w:pPr>
      <w:rPr>
        <w:rFonts w:ascii="Segoe UI Symbol" w:hAnsi="Segoe UI Symbol" w:cs="Segoe UI Symbol" w:hint="default"/>
      </w:rPr>
    </w:lvl>
    <w:lvl w:ilvl="2">
      <w:start w:val="1"/>
      <w:numFmt w:val="bullet"/>
      <w:lvlText w:val="▪"/>
      <w:lvlJc w:val="left"/>
      <w:pPr>
        <w:tabs>
          <w:tab w:val="num" w:pos="0"/>
        </w:tabs>
        <w:ind w:left="2160" w:hanging="0"/>
      </w:pPr>
      <w:rPr>
        <w:rFonts w:ascii="Segoe UI Symbol" w:hAnsi="Segoe UI Symbol" w:cs="Segoe UI Symbol" w:hint="default"/>
      </w:rPr>
    </w:lvl>
    <w:lvl w:ilvl="3">
      <w:start w:val="1"/>
      <w:numFmt w:val="bullet"/>
      <w:lvlText w:val="•"/>
      <w:lvlJc w:val="left"/>
      <w:pPr>
        <w:tabs>
          <w:tab w:val="num" w:pos="0"/>
        </w:tabs>
        <w:ind w:left="2880" w:hanging="0"/>
      </w:pPr>
      <w:rPr>
        <w:rFonts w:ascii="Arial" w:hAnsi="Arial" w:cs="Arial" w:hint="default"/>
      </w:rPr>
    </w:lvl>
    <w:lvl w:ilvl="4">
      <w:start w:val="1"/>
      <w:numFmt w:val="bullet"/>
      <w:lvlText w:val="o"/>
      <w:lvlJc w:val="left"/>
      <w:pPr>
        <w:tabs>
          <w:tab w:val="num" w:pos="0"/>
        </w:tabs>
        <w:ind w:left="3600" w:hanging="0"/>
      </w:pPr>
      <w:rPr>
        <w:rFonts w:ascii="Segoe UI Symbol" w:hAnsi="Segoe UI Symbol" w:cs="Segoe UI Symbol" w:hint="default"/>
      </w:rPr>
    </w:lvl>
    <w:lvl w:ilvl="5">
      <w:start w:val="1"/>
      <w:numFmt w:val="bullet"/>
      <w:lvlText w:val="▪"/>
      <w:lvlJc w:val="left"/>
      <w:pPr>
        <w:tabs>
          <w:tab w:val="num" w:pos="0"/>
        </w:tabs>
        <w:ind w:left="4320" w:hanging="0"/>
      </w:pPr>
      <w:rPr>
        <w:rFonts w:ascii="Segoe UI Symbol" w:hAnsi="Segoe UI Symbol" w:cs="Segoe UI Symbol" w:hint="default"/>
      </w:rPr>
    </w:lvl>
    <w:lvl w:ilvl="6">
      <w:start w:val="1"/>
      <w:numFmt w:val="bullet"/>
      <w:lvlText w:val="•"/>
      <w:lvlJc w:val="left"/>
      <w:pPr>
        <w:tabs>
          <w:tab w:val="num" w:pos="0"/>
        </w:tabs>
        <w:ind w:left="5040" w:hanging="0"/>
      </w:pPr>
      <w:rPr>
        <w:rFonts w:ascii="Arial" w:hAnsi="Arial" w:cs="Arial" w:hint="default"/>
      </w:rPr>
    </w:lvl>
    <w:lvl w:ilvl="7">
      <w:start w:val="1"/>
      <w:numFmt w:val="bullet"/>
      <w:lvlText w:val="o"/>
      <w:lvlJc w:val="left"/>
      <w:pPr>
        <w:tabs>
          <w:tab w:val="num" w:pos="0"/>
        </w:tabs>
        <w:ind w:left="5760" w:hanging="0"/>
      </w:pPr>
      <w:rPr>
        <w:rFonts w:ascii="Segoe UI Symbol" w:hAnsi="Segoe UI Symbol" w:cs="Segoe UI Symbol" w:hint="default"/>
      </w:rPr>
    </w:lvl>
    <w:lvl w:ilvl="8">
      <w:start w:val="1"/>
      <w:numFmt w:val="bullet"/>
      <w:lvlText w:val="▪"/>
      <w:lvlJc w:val="left"/>
      <w:pPr>
        <w:tabs>
          <w:tab w:val="num" w:pos="0"/>
        </w:tabs>
        <w:ind w:left="6480" w:hanging="0"/>
      </w:pPr>
      <w:rPr>
        <w:rFonts w:ascii="Segoe UI Symbol" w:hAnsi="Segoe UI Symbol" w:cs="Segoe UI 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a0b41"/>
    <w:pPr>
      <w:widowControl/>
      <w:suppressAutoHyphens w:val="true"/>
      <w:bidi w:val="0"/>
      <w:spacing w:lineRule="auto" w:line="264" w:before="0" w:after="4"/>
      <w:ind w:hanging="10" w:left="111"/>
      <w:jc w:val="both"/>
    </w:pPr>
    <w:rPr>
      <w:rFonts w:ascii="Times New Roman" w:hAnsi="Times New Roman" w:eastAsia="Times New Roman" w:cs="Times New Roman"/>
      <w:color w:val="000000"/>
      <w:kern w:val="0"/>
      <w:sz w:val="24"/>
      <w:szCs w:val="22"/>
      <w:lang w:val="ru-RU" w:eastAsia="ru-RU" w:bidi="ar-SA"/>
    </w:rPr>
  </w:style>
  <w:style w:type="character" w:styleId="DefaultParagraphFont" w:default="1">
    <w:name w:val="Default Paragraph Font"/>
    <w:uiPriority w:val="1"/>
    <w:semiHidden/>
    <w:unhideWhenUsed/>
    <w:qFormat/>
    <w:rPr/>
  </w:style>
  <w:style w:type="character" w:styleId="jlqj4b" w:customStyle="1">
    <w:name w:val="jlqj4b"/>
    <w:basedOn w:val="DefaultParagraphFont"/>
    <w:qFormat/>
    <w:rsid w:val="00c17234"/>
    <w:rPr/>
  </w:style>
  <w:style w:type="character" w:styleId="HTML" w:customStyle="1">
    <w:name w:val="Стандартный HTML Знак"/>
    <w:basedOn w:val="DefaultParagraphFont"/>
    <w:uiPriority w:val="99"/>
    <w:semiHidden/>
    <w:qFormat/>
    <w:rsid w:val="00151664"/>
    <w:rPr>
      <w:rFonts w:ascii="Courier New" w:hAnsi="Courier New" w:eastAsia="Times New Roman" w:cs="Courier New"/>
      <w:sz w:val="20"/>
      <w:szCs w:val="20"/>
      <w:lang w:val="en-US" w:eastAsia="en-US"/>
    </w:rPr>
  </w:style>
  <w:style w:type="character" w:styleId="y2iqfc" w:customStyle="1">
    <w:name w:val="y2iqfc"/>
    <w:basedOn w:val="DefaultParagraphFont"/>
    <w:qFormat/>
    <w:rsid w:val="00151664"/>
    <w:rPr/>
  </w:style>
  <w:style w:type="paragraph" w:styleId="Style14">
    <w:name w:val="Заголовок"/>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xmsonormal" w:customStyle="1">
    <w:name w:val="x_msonormal"/>
    <w:basedOn w:val="Normal"/>
    <w:uiPriority w:val="99"/>
    <w:qFormat/>
    <w:rsid w:val="00261bd2"/>
    <w:pPr>
      <w:spacing w:lineRule="auto" w:line="240" w:before="0" w:after="0"/>
      <w:ind w:hanging="0" w:left="0"/>
      <w:jc w:val="left"/>
    </w:pPr>
    <w:rPr>
      <w:rFonts w:eastAsia="Calibri" w:eastAsiaTheme="minorHAnsi"/>
      <w:color w:val="auto"/>
      <w:szCs w:val="24"/>
    </w:rPr>
  </w:style>
  <w:style w:type="paragraph" w:styleId="xxmsonormal" w:customStyle="1">
    <w:name w:val="x_xmsonormal"/>
    <w:basedOn w:val="Normal"/>
    <w:uiPriority w:val="99"/>
    <w:qFormat/>
    <w:rsid w:val="005a4d19"/>
    <w:pPr>
      <w:spacing w:lineRule="auto" w:line="240" w:before="0" w:after="0"/>
      <w:ind w:hanging="0" w:left="0"/>
      <w:jc w:val="left"/>
    </w:pPr>
    <w:rPr>
      <w:rFonts w:eastAsia="Calibri" w:eastAsiaTheme="minorHAnsi"/>
      <w:color w:val="auto"/>
      <w:szCs w:val="24"/>
    </w:rPr>
  </w:style>
  <w:style w:type="paragraph" w:styleId="NoSpacing">
    <w:name w:val="No Spacing"/>
    <w:uiPriority w:val="1"/>
    <w:qFormat/>
    <w:rsid w:val="00497604"/>
    <w:pPr>
      <w:widowControl/>
      <w:suppressAutoHyphens w:val="true"/>
      <w:bidi w:val="0"/>
      <w:spacing w:lineRule="auto" w:line="240" w:before="0" w:after="0"/>
      <w:jc w:val="left"/>
    </w:pPr>
    <w:rPr>
      <w:rFonts w:ascii="Calibri" w:hAnsi="Calibri" w:eastAsia="Calibri" w:cs="Times New Roman" w:asciiTheme="minorHAnsi" w:hAnsiTheme="minorHAnsi"/>
      <w:color w:val="auto"/>
      <w:kern w:val="0"/>
      <w:sz w:val="22"/>
      <w:szCs w:val="22"/>
      <w:lang w:val="ru-RU" w:eastAsia="en-US" w:bidi="ar-SA"/>
    </w:rPr>
  </w:style>
  <w:style w:type="paragraph" w:styleId="HTMLPreformatted">
    <w:name w:val="HTML Preformatted"/>
    <w:basedOn w:val="Normal"/>
    <w:uiPriority w:val="99"/>
    <w:semiHidden/>
    <w:unhideWhenUsed/>
    <w:qFormat/>
    <w:rsid w:val="00151664"/>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ind w:hanging="0" w:left="0"/>
      <w:jc w:val="left"/>
    </w:pPr>
    <w:rPr>
      <w:rFonts w:ascii="Courier New" w:hAnsi="Courier New" w:cs="Courier New"/>
      <w:color w:val="auto"/>
      <w:sz w:val="20"/>
      <w:szCs w:val="20"/>
      <w:lang w:val="en-US" w:eastAsia="en-US"/>
    </w:rPr>
  </w:style>
  <w:style w:type="paragraph" w:styleId="Style16">
    <w:name w:val="Верхний и нижний колонтитулы"/>
    <w:basedOn w:val="Normal"/>
    <w:qFormat/>
    <w:pPr>
      <w:suppressLineNumbers/>
      <w:tabs>
        <w:tab w:val="clear" w:pos="708"/>
        <w:tab w:val="center" w:pos="5104" w:leader="none"/>
        <w:tab w:val="right" w:pos="10209" w:leader="none"/>
      </w:tabs>
    </w:pPr>
    <w:rPr/>
  </w:style>
  <w:style w:type="paragraph" w:styleId="user2">
    <w:name w:val="Колонтитулы (user)"/>
    <w:basedOn w:val="Normal"/>
    <w:qFormat/>
    <w:pPr/>
    <w:rPr/>
  </w:style>
  <w:style w:type="paragraph" w:styleId="Style17">
    <w:name w:val="Колонтитулы"/>
    <w:basedOn w:val="Normal"/>
    <w:qFormat/>
    <w:pPr/>
    <w:rPr/>
  </w:style>
  <w:style w:type="paragraph" w:styleId="Header">
    <w:name w:val="header"/>
    <w:basedOn w:val="Style16"/>
    <w:pPr>
      <w:suppressLineNumbers/>
    </w:pPr>
    <w:rPr/>
  </w:style>
  <w:style w:type="paragraph" w:styleId="Style18">
    <w:name w:val="Содержимое таблицы"/>
    <w:basedOn w:val="Normal"/>
    <w:qFormat/>
    <w:pPr>
      <w:widowControl w:val="false"/>
      <w:suppressLineNumbers/>
    </w:pPr>
    <w:rPr/>
  </w:style>
  <w:style w:type="paragraph" w:styleId="Style19">
    <w:name w:val="Заголовок таблицы"/>
    <w:basedOn w:val="Style18"/>
    <w:qFormat/>
    <w:pPr>
      <w:suppressLineNumbers/>
      <w:jc w:val="center"/>
    </w:pPr>
    <w:rPr>
      <w:b/>
      <w:bCs/>
    </w:rPr>
  </w:style>
  <w:style w:type="paragraph" w:styleId="user3">
    <w:name w:val="Содержимое таблицы (user)"/>
    <w:basedOn w:val="Normal"/>
    <w:qFormat/>
    <w:pPr>
      <w:widowControl w:val="false"/>
      <w:suppressLineNumbers/>
    </w:pPr>
    <w:rPr/>
  </w:style>
  <w:style w:type="paragraph" w:styleId="user4">
    <w:name w:val="Заголовок таблицы (user)"/>
    <w:basedOn w:val="user3"/>
    <w:qFormat/>
    <w:pPr>
      <w:suppressLineNumbers/>
      <w:jc w:val="center"/>
    </w:pPr>
    <w:rPr>
      <w:b/>
      <w:bCs/>
    </w:rPr>
  </w:style>
  <w:style w:type="numbering" w:styleId="user5" w:default="1">
    <w:name w:val="Без списка (user)"/>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customStyle="1" w:styleId="TableGrid">
    <w:name w:val="TableGrid"/>
    <w:rsid w:val="00ba0b41"/>
    <w:pPr>
      <w:spacing w:after="0" w:line="240" w:lineRule="auto"/>
    </w:p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95122-6A4E-4C99-BBF6-610E018C0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Application>LibreOffice/25.2.7.2$Windows_X86_64 LibreOffice_project/5cbfd1ab6520636bb5f7b99185aa69bd7456825d</Application>
  <AppVersion>15.0000</AppVersion>
  <Pages>6</Pages>
  <Words>1378</Words>
  <Characters>10538</Characters>
  <CharactersWithSpaces>11885</CharactersWithSpaces>
  <Paragraphs>90</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2022-04-15T05:17:00Z</dcterms:created>
  <dc:creator>Authorized User</dc:creator>
  <dc:description/>
  <dc:language>ru-RU</dc:language>
  <cp:lastModifiedBy/>
  <cp:lastPrinted>2023-09-15T17:38:33Z</cp:lastPrinted>
  <dcterms:modified xsi:type="dcterms:W3CDTF">2026-10-16T11:52:28Z</dcterms:modified>
  <cp:revision>41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