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FC080">
      <w:pPr>
        <w:pStyle w:val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55D8E629">
      <w:pPr>
        <w:pStyle w:val="3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работ по новогоднему уличному оформлению фасада здания</w:t>
      </w:r>
    </w:p>
    <w:p w14:paraId="7D029B6B">
      <w:pPr>
        <w:pStyle w:val="4"/>
        <w:rPr>
          <w:sz w:val="24"/>
          <w:szCs w:val="24"/>
        </w:rPr>
      </w:pPr>
      <w:r>
        <w:rPr>
          <w:sz w:val="24"/>
          <w:szCs w:val="24"/>
        </w:rPr>
        <w:t>1. Наименование работ</w:t>
      </w:r>
    </w:p>
    <w:p w14:paraId="630FC911">
      <w:pPr>
        <w:pStyle w:val="8"/>
      </w:pPr>
      <w:r>
        <w:t xml:space="preserve">Выполнение работ по новогоднему праздничному оформлению фасада двухэтажного здания с использованием уличных декоративных световых элементов, включая поставку материалов, доставку, монтаж, электрическое подключение, крепление </w:t>
      </w:r>
    </w:p>
    <w:p w14:paraId="78E8EB33">
      <w:pPr>
        <w:pStyle w:val="4"/>
        <w:rPr>
          <w:sz w:val="24"/>
          <w:szCs w:val="24"/>
        </w:rPr>
      </w:pPr>
      <w:r>
        <w:rPr>
          <w:sz w:val="24"/>
          <w:szCs w:val="24"/>
        </w:rPr>
        <w:t>2. Общие требования</w:t>
      </w:r>
    </w:p>
    <w:p w14:paraId="1A9402C2">
      <w:pPr>
        <w:pStyle w:val="8"/>
      </w:pPr>
      <w:r>
        <w:t>Исполнитель обязан выполнить комплекс работ по новогоднему праздничному оформлению фасада двухэтажного здания.</w:t>
      </w:r>
    </w:p>
    <w:p w14:paraId="3B3A9070">
      <w:pPr>
        <w:pStyle w:val="8"/>
      </w:pPr>
      <w:r>
        <w:t>Оформление выполняется с использованием световых декоративных элементов белого цвета, предназначенных для эксплуатации на открытом воздухе.</w:t>
      </w:r>
    </w:p>
    <w:p w14:paraId="50C3E8DC">
      <w:pPr>
        <w:pStyle w:val="8"/>
      </w:pPr>
      <w:r>
        <w:t>Все работы должны быть выполнены качественно, аккуратно и безопасно, с обеспечением равномерного и эстетичного размещения световых элементов по фасаду здания.</w:t>
      </w:r>
    </w:p>
    <w:p w14:paraId="06C92767">
      <w:pPr>
        <w:pStyle w:val="8"/>
      </w:pPr>
      <w:r>
        <w:t>Световое оборудование и материалы должны быть пригодны для эксплуатации на открытом воздухе, в условиях воздействия атмосферных осадков, ветра и отрицательных температур.</w:t>
      </w:r>
    </w:p>
    <w:p w14:paraId="6DF947F9">
      <w:pPr>
        <w:pStyle w:val="4"/>
        <w:rPr>
          <w:sz w:val="24"/>
          <w:szCs w:val="24"/>
        </w:rPr>
      </w:pPr>
      <w:r>
        <w:rPr>
          <w:sz w:val="24"/>
          <w:szCs w:val="24"/>
        </w:rPr>
        <w:t>3. Основные технические характеристики</w:t>
      </w:r>
    </w:p>
    <w:tbl>
      <w:tblPr>
        <w:tblStyle w:val="6"/>
        <w:tblW w:w="0" w:type="auto"/>
        <w:tblCellSpacing w:w="1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63"/>
        <w:gridCol w:w="7650"/>
      </w:tblGrid>
      <w:tr w14:paraId="04C0E89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vAlign w:val="center"/>
          </w:tcPr>
          <w:p w14:paraId="4C3519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14:paraId="2C1BC8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</w:tr>
      <w:tr w14:paraId="47BA22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35C5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Гирлянда «Водопад»</w:t>
            </w:r>
          </w:p>
        </w:tc>
        <w:tc>
          <w:tcPr>
            <w:tcW w:w="0" w:type="auto"/>
            <w:vAlign w:val="center"/>
          </w:tcPr>
          <w:p w14:paraId="68FB327A">
            <w:pP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Уличная светодиодная гирлянда типа «Водопад», цвет свечения </w:t>
            </w:r>
            <w:r>
              <w:rPr>
                <w:rStyle w:val="7"/>
                <w:rFonts w:ascii="Times New Roman" w:hAnsi="Times New Roman" w:cs="Times New Roman"/>
                <w:sz w:val="24"/>
                <w:szCs w:val="24"/>
              </w:rPr>
              <w:t>белый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размер </w:t>
            </w:r>
            <w:r>
              <w:rPr>
                <w:rStyle w:val="7"/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Style w:val="7"/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длина </w:t>
            </w:r>
            <w:r>
              <w:rPr>
                <w:rStyle w:val="7"/>
                <w:rFonts w:hint="default"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Style w:val="7"/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разноуровневая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предназначенная для наружного применения, с влагозащищённым исполнением и возможностью безопасного подключения к электрической сети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80 метров </w:t>
            </w:r>
          </w:p>
        </w:tc>
      </w:tr>
      <w:tr w14:paraId="0DF2816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0EC1A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декоративных элементов</w:t>
            </w:r>
          </w:p>
        </w:tc>
        <w:tc>
          <w:tcPr>
            <w:tcW w:w="0" w:type="auto"/>
            <w:vAlign w:val="center"/>
          </w:tcPr>
          <w:p w14:paraId="36DA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 световых элементов по фасаду двухэтажного здания с равномерным распределением по архитектурным элементам фасада согласно согласованной с Заказчиком схеме размещения.</w:t>
            </w:r>
          </w:p>
        </w:tc>
      </w:tr>
      <w:tr w14:paraId="0E452F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5D51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Крепление</w:t>
            </w:r>
          </w:p>
        </w:tc>
        <w:tc>
          <w:tcPr>
            <w:tcW w:w="0" w:type="auto"/>
            <w:vAlign w:val="center"/>
          </w:tcPr>
          <w:p w14:paraId="118EC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Надёжное и безопасное крепление световых элементов с использованием необходимых крепёжных материалов, обеспечивающих устойчивость конструкций и сохранность фасада здания.</w:t>
            </w:r>
          </w:p>
        </w:tc>
      </w:tr>
      <w:tr w14:paraId="164039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3381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Электрическое подключение</w:t>
            </w:r>
          </w:p>
        </w:tc>
        <w:tc>
          <w:tcPr>
            <w:tcW w:w="0" w:type="auto"/>
            <w:vAlign w:val="center"/>
          </w:tcPr>
          <w:p w14:paraId="7A185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световых элементов к существующей электрической сети объекта с соблюдением требований электробезопасности.</w:t>
            </w:r>
          </w:p>
        </w:tc>
      </w:tr>
      <w:tr w14:paraId="5F7C1E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2F714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Кабельная продукция</w:t>
            </w:r>
          </w:p>
        </w:tc>
        <w:tc>
          <w:tcPr>
            <w:tcW w:w="0" w:type="auto"/>
            <w:vAlign w:val="center"/>
          </w:tcPr>
          <w:p w14:paraId="27181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Электрические кабели, удлинители, соединительные провода и иные необходимые элементы для подключения светового оборудования.</w:t>
            </w:r>
          </w:p>
        </w:tc>
      </w:tr>
      <w:tr w14:paraId="473C36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2811E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Переходники и соединительные элементы</w:t>
            </w:r>
          </w:p>
        </w:tc>
        <w:tc>
          <w:tcPr>
            <w:tcW w:w="0" w:type="auto"/>
            <w:vAlign w:val="center"/>
          </w:tcPr>
          <w:p w14:paraId="50DE9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необходимые переходники, разъёмы, коннекторы, распределители, соединители и иные комплектующие для монтажа и подключения.</w:t>
            </w:r>
          </w:p>
        </w:tc>
      </w:tr>
      <w:tr w14:paraId="6AC3D0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F997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электрических соединений</w:t>
            </w:r>
          </w:p>
        </w:tc>
        <w:tc>
          <w:tcPr>
            <w:tcW w:w="0" w:type="auto"/>
            <w:vAlign w:val="center"/>
          </w:tcPr>
          <w:p w14:paraId="6E6E8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электрических соединений от воздействия влаги, атмосферных осадков и отрицательных температур с применением материалов, предназначенных для наружной эксплуатации.</w:t>
            </w:r>
          </w:p>
        </w:tc>
      </w:tr>
      <w:tr w14:paraId="27B066B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082C3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подъёма</w:t>
            </w:r>
          </w:p>
        </w:tc>
        <w:tc>
          <w:tcPr>
            <w:tcW w:w="0" w:type="auto"/>
            <w:vAlign w:val="center"/>
          </w:tcPr>
          <w:p w14:paraId="22B1A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и использование автовышки, автогидроподъёмника либо другого соответствующего требованиям безопасности подъёмного оборудования для выполнения монтажных работ на фасаде двухэтажного здания.</w:t>
            </w:r>
          </w:p>
        </w:tc>
      </w:tr>
      <w:tr w14:paraId="61FC4FC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4C0D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</w:t>
            </w:r>
          </w:p>
        </w:tc>
        <w:tc>
          <w:tcPr>
            <w:tcW w:w="0" w:type="auto"/>
            <w:vAlign w:val="center"/>
          </w:tcPr>
          <w:p w14:paraId="550B1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  гирлянд «Водопад», включая установку, крепление, прокладку необходимых кабелей и электрическое подключение.</w:t>
            </w:r>
          </w:p>
        </w:tc>
      </w:tr>
      <w:tr w14:paraId="1502BE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24522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Расходные материалы</w:t>
            </w:r>
          </w:p>
        </w:tc>
        <w:tc>
          <w:tcPr>
            <w:tcW w:w="0" w:type="auto"/>
            <w:vAlign w:val="center"/>
          </w:tcPr>
          <w:p w14:paraId="7DA44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необходимые расходные материалы: крепёж, кабель, удлинители, переходники, соединители, хомуты, скобы, изоляционные и герметизирующие материалы и иные комплектующие.</w:t>
            </w:r>
          </w:p>
        </w:tc>
      </w:tr>
    </w:tbl>
    <w:p w14:paraId="254876E9">
      <w:pPr>
        <w:pStyle w:val="4"/>
        <w:rPr>
          <w:sz w:val="24"/>
          <w:szCs w:val="24"/>
        </w:rPr>
      </w:pPr>
      <w:r>
        <w:rPr>
          <w:sz w:val="24"/>
          <w:szCs w:val="24"/>
        </w:rPr>
        <w:t>4. Требования к световым декоративным элементам</w:t>
      </w:r>
    </w:p>
    <w:p w14:paraId="68069931">
      <w:pPr>
        <w:pStyle w:val="8"/>
      </w:pPr>
      <w:r>
        <w:t>Световые декоративные элементы должны:</w:t>
      </w:r>
    </w:p>
    <w:p w14:paraId="602FD0C1">
      <w:pPr>
        <w:pStyle w:val="8"/>
        <w:numPr>
          <w:ilvl w:val="0"/>
          <w:numId w:val="1"/>
        </w:numPr>
      </w:pPr>
      <w:r>
        <w:t>быть предназначены для эксплуатации на открытом воздухе;</w:t>
      </w:r>
    </w:p>
    <w:p w14:paraId="256861CB">
      <w:pPr>
        <w:pStyle w:val="8"/>
        <w:numPr>
          <w:ilvl w:val="0"/>
          <w:numId w:val="1"/>
        </w:numPr>
      </w:pPr>
      <w:r>
        <w:t xml:space="preserve">иметь длину </w:t>
      </w:r>
      <w:r>
        <w:rPr>
          <w:lang w:val="kk-KZ"/>
        </w:rPr>
        <w:t>свисания</w:t>
      </w:r>
      <w:r>
        <w:rPr>
          <w:rFonts w:hint="default"/>
          <w:lang w:val="kk-KZ"/>
        </w:rPr>
        <w:t xml:space="preserve"> </w:t>
      </w:r>
      <w:r>
        <w:rPr>
          <w:rStyle w:val="7"/>
          <w:rFonts w:eastAsiaTheme="majorEastAsia"/>
        </w:rPr>
        <w:t>1 метр</w:t>
      </w:r>
      <w:r>
        <w:t xml:space="preserve"> ;</w:t>
      </w:r>
    </w:p>
    <w:p w14:paraId="307C6EE1">
      <w:pPr>
        <w:pStyle w:val="8"/>
        <w:numPr>
          <w:ilvl w:val="0"/>
          <w:numId w:val="1"/>
        </w:numPr>
      </w:pPr>
      <w:r>
        <w:t xml:space="preserve">иметь цвет свечения </w:t>
      </w:r>
      <w:r>
        <w:rPr>
          <w:rStyle w:val="7"/>
          <w:rFonts w:eastAsiaTheme="majorEastAsia"/>
        </w:rPr>
        <w:t>белый</w:t>
      </w:r>
      <w:r>
        <w:t>;</w:t>
      </w:r>
    </w:p>
    <w:p w14:paraId="30B6882E">
      <w:pPr>
        <w:pStyle w:val="8"/>
        <w:numPr>
          <w:ilvl w:val="0"/>
          <w:numId w:val="1"/>
        </w:numPr>
      </w:pPr>
      <w:r>
        <w:t xml:space="preserve">иметь напряжение питания </w:t>
      </w:r>
      <w:r>
        <w:rPr>
          <w:rStyle w:val="7"/>
          <w:rFonts w:eastAsiaTheme="majorEastAsia"/>
        </w:rPr>
        <w:t>220 В</w:t>
      </w:r>
      <w:r>
        <w:t>;</w:t>
      </w:r>
    </w:p>
    <w:p w14:paraId="65930967">
      <w:pPr>
        <w:pStyle w:val="8"/>
        <w:numPr>
          <w:ilvl w:val="0"/>
          <w:numId w:val="1"/>
        </w:numPr>
      </w:pPr>
      <w:r>
        <w:t xml:space="preserve">иметь степень защиты от воздействия окружающей среды </w:t>
      </w:r>
      <w:r>
        <w:rPr>
          <w:rStyle w:val="7"/>
          <w:rFonts w:hint="default" w:eastAsiaTheme="majorEastAsia"/>
        </w:rPr>
        <w:t>IP54, IP65 или IP67— идеальный выбор для улицы. Такая бахрома выдерживает сильный снег, ледяной дождь и перепады температур.</w:t>
      </w:r>
      <w:r>
        <w:t>;</w:t>
      </w:r>
    </w:p>
    <w:p w14:paraId="54DC9334">
      <w:pPr>
        <w:pStyle w:val="8"/>
        <w:numPr>
          <w:ilvl w:val="0"/>
          <w:numId w:val="1"/>
        </w:numPr>
      </w:pPr>
      <w:r>
        <w:t>иметь влагозащищённый и морозостойкий провод;</w:t>
      </w:r>
    </w:p>
    <w:p w14:paraId="2D08031D">
      <w:pPr>
        <w:pStyle w:val="8"/>
        <w:numPr>
          <w:ilvl w:val="0"/>
          <w:numId w:val="1"/>
        </w:numPr>
      </w:pPr>
      <w:r>
        <w:t>быть исправными и не иметь механических повреждений;</w:t>
      </w:r>
    </w:p>
    <w:p w14:paraId="276C457B">
      <w:pPr>
        <w:pStyle w:val="8"/>
        <w:numPr>
          <w:ilvl w:val="0"/>
          <w:numId w:val="1"/>
        </w:numPr>
      </w:pPr>
      <w:r>
        <w:t>иметь целостную конструкцию;</w:t>
      </w:r>
    </w:p>
    <w:p w14:paraId="7FB24045">
      <w:pPr>
        <w:pStyle w:val="8"/>
        <w:numPr>
          <w:ilvl w:val="0"/>
          <w:numId w:val="1"/>
        </w:numPr>
      </w:pPr>
      <w:r>
        <w:t>не иметь оголённых токоведущих частей;</w:t>
      </w:r>
    </w:p>
    <w:p w14:paraId="745886EE">
      <w:pPr>
        <w:pStyle w:val="8"/>
        <w:numPr>
          <w:ilvl w:val="0"/>
          <w:numId w:val="1"/>
        </w:numPr>
      </w:pPr>
      <w:r>
        <w:t>иметь надёжные соединения и элементы крепления;</w:t>
      </w:r>
    </w:p>
    <w:p w14:paraId="033D6003">
      <w:pPr>
        <w:pStyle w:val="8"/>
        <w:numPr>
          <w:ilvl w:val="0"/>
          <w:numId w:val="1"/>
        </w:numPr>
      </w:pPr>
      <w:r>
        <w:t>обеспечивать равномерное световое оформление фасада;</w:t>
      </w:r>
    </w:p>
    <w:p w14:paraId="6498F6D4">
      <w:pPr>
        <w:pStyle w:val="8"/>
        <w:numPr>
          <w:ilvl w:val="0"/>
          <w:numId w:val="1"/>
        </w:numPr>
      </w:pPr>
      <w:r>
        <w:t>соответствовать требованиям действующих технических регламентов и нормативных документов Республики Казахстан, применимых к соответствующему оборудованию.</w:t>
      </w:r>
    </w:p>
    <w:p w14:paraId="63946E58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Требования к выполнению монтажных работ</w:t>
      </w:r>
    </w:p>
    <w:p w14:paraId="505A098C">
      <w:pPr>
        <w:pStyle w:val="8"/>
      </w:pPr>
      <w:r>
        <w:t>Монтаж выполняется на фасаде двухэтажного здания.</w:t>
      </w:r>
    </w:p>
    <w:p w14:paraId="292D290F">
      <w:pPr>
        <w:pStyle w:val="8"/>
      </w:pPr>
      <w:r>
        <w:t>Исполнитель самостоятельно обеспечивает необходимое оборудование, инструменты, персонал и материалы для выполнения работ.</w:t>
      </w:r>
    </w:p>
    <w:p w14:paraId="448CFF30">
      <w:pPr>
        <w:pStyle w:val="8"/>
      </w:pPr>
      <w:r>
        <w:t>При проведении монтажных работ Исполнитель обязан обеспечить:</w:t>
      </w:r>
    </w:p>
    <w:p w14:paraId="7026AD00">
      <w:pPr>
        <w:pStyle w:val="8"/>
        <w:numPr>
          <w:ilvl w:val="0"/>
          <w:numId w:val="2"/>
        </w:numPr>
      </w:pPr>
      <w:r>
        <w:t>использование исправной автовышки/автогидроподъёмника либо иного безопасного подъёмного оборудования;</w:t>
      </w:r>
    </w:p>
    <w:p w14:paraId="16C7CDAB">
      <w:pPr>
        <w:pStyle w:val="8"/>
        <w:numPr>
          <w:ilvl w:val="0"/>
          <w:numId w:val="2"/>
        </w:numPr>
      </w:pPr>
      <w:r>
        <w:t>соблюдение требований безопасности при работе на высоте;</w:t>
      </w:r>
    </w:p>
    <w:p w14:paraId="0A29C58F">
      <w:pPr>
        <w:pStyle w:val="8"/>
        <w:numPr>
          <w:ilvl w:val="0"/>
          <w:numId w:val="2"/>
        </w:numPr>
      </w:pPr>
      <w:r>
        <w:t>надёжное крепление всех элементов;</w:t>
      </w:r>
    </w:p>
    <w:p w14:paraId="7F8CA768">
      <w:pPr>
        <w:pStyle w:val="8"/>
        <w:numPr>
          <w:ilvl w:val="0"/>
          <w:numId w:val="2"/>
        </w:numPr>
      </w:pPr>
      <w:r>
        <w:t>безопасную прокладку электрических кабелей;</w:t>
      </w:r>
    </w:p>
    <w:p w14:paraId="51FF4448">
      <w:pPr>
        <w:pStyle w:val="8"/>
        <w:numPr>
          <w:ilvl w:val="0"/>
          <w:numId w:val="2"/>
        </w:numPr>
      </w:pPr>
      <w:r>
        <w:t>защиту электрических соединений от влаги;</w:t>
      </w:r>
    </w:p>
    <w:p w14:paraId="48EB4F9A">
      <w:pPr>
        <w:pStyle w:val="8"/>
        <w:numPr>
          <w:ilvl w:val="0"/>
          <w:numId w:val="2"/>
        </w:numPr>
      </w:pPr>
      <w:r>
        <w:t>отсутствие свободно свисающих и представляющих опасность проводов;</w:t>
      </w:r>
    </w:p>
    <w:p w14:paraId="0659B1CC">
      <w:pPr>
        <w:pStyle w:val="8"/>
        <w:numPr>
          <w:ilvl w:val="0"/>
          <w:numId w:val="2"/>
        </w:numPr>
      </w:pPr>
      <w:r>
        <w:t>отсутствие угрозы падения декоративных элементов;</w:t>
      </w:r>
    </w:p>
    <w:p w14:paraId="3A069356">
      <w:pPr>
        <w:pStyle w:val="8"/>
        <w:numPr>
          <w:ilvl w:val="0"/>
          <w:numId w:val="2"/>
        </w:numPr>
      </w:pPr>
      <w:r>
        <w:t>сохранность фасада здания.</w:t>
      </w:r>
    </w:p>
    <w:p w14:paraId="294F14DF">
      <w:pPr>
        <w:pStyle w:val="4"/>
        <w:rPr>
          <w:sz w:val="24"/>
          <w:szCs w:val="24"/>
        </w:rPr>
      </w:pPr>
      <w:r>
        <w:rPr>
          <w:sz w:val="24"/>
          <w:szCs w:val="24"/>
        </w:rPr>
        <w:t>7. Требования к фасаду здания</w:t>
      </w:r>
    </w:p>
    <w:p w14:paraId="59E0858D">
      <w:pPr>
        <w:pStyle w:val="8"/>
      </w:pPr>
      <w:r>
        <w:t>Крепление световых элементов должно осуществляться таким способом, чтобы не допускать необоснованного повреждения фасада здания.</w:t>
      </w:r>
    </w:p>
    <w:p w14:paraId="14B4BEDA">
      <w:pPr>
        <w:pStyle w:val="4"/>
        <w:rPr>
          <w:sz w:val="24"/>
          <w:szCs w:val="24"/>
        </w:rPr>
      </w:pPr>
      <w:r>
        <w:rPr>
          <w:sz w:val="24"/>
          <w:szCs w:val="24"/>
        </w:rPr>
        <w:t>8. Требования безопасности</w:t>
      </w:r>
    </w:p>
    <w:p w14:paraId="750A6EEF">
      <w:pPr>
        <w:pStyle w:val="8"/>
      </w:pPr>
      <w:r>
        <w:t>Не допускается:</w:t>
      </w:r>
    </w:p>
    <w:p w14:paraId="2C4EBA71">
      <w:pPr>
        <w:pStyle w:val="8"/>
        <w:numPr>
          <w:ilvl w:val="0"/>
          <w:numId w:val="3"/>
        </w:numPr>
      </w:pPr>
      <w:r>
        <w:t>использование повреждённого светового оборудования;</w:t>
      </w:r>
    </w:p>
    <w:p w14:paraId="63533F04">
      <w:pPr>
        <w:pStyle w:val="8"/>
        <w:numPr>
          <w:ilvl w:val="0"/>
          <w:numId w:val="3"/>
        </w:numPr>
      </w:pPr>
      <w:r>
        <w:t>использование повреждённых кабелей, разъёмов и соединителей;</w:t>
      </w:r>
    </w:p>
    <w:p w14:paraId="0BA55E9D">
      <w:pPr>
        <w:pStyle w:val="8"/>
        <w:numPr>
          <w:ilvl w:val="0"/>
          <w:numId w:val="3"/>
        </w:numPr>
      </w:pPr>
      <w:r>
        <w:t>наличие оголённых токоведущих частей;</w:t>
      </w:r>
    </w:p>
    <w:p w14:paraId="622B5E90">
      <w:pPr>
        <w:pStyle w:val="8"/>
        <w:numPr>
          <w:ilvl w:val="0"/>
          <w:numId w:val="3"/>
        </w:numPr>
      </w:pPr>
      <w:r>
        <w:t>прокладка кабелей, создающая угрозу жизни и здоровью людей;</w:t>
      </w:r>
    </w:p>
    <w:p w14:paraId="34D796A0">
      <w:pPr>
        <w:pStyle w:val="8"/>
        <w:numPr>
          <w:ilvl w:val="0"/>
          <w:numId w:val="3"/>
        </w:numPr>
      </w:pPr>
      <w:r>
        <w:t>использование неисправной автовышки или другого подъёмного оборудования;</w:t>
      </w:r>
    </w:p>
    <w:p w14:paraId="4DBA4992">
      <w:pPr>
        <w:pStyle w:val="8"/>
        <w:numPr>
          <w:ilvl w:val="0"/>
          <w:numId w:val="3"/>
        </w:numPr>
      </w:pPr>
      <w:r>
        <w:t>ненадёжное крепление световых элементов;</w:t>
      </w:r>
    </w:p>
    <w:p w14:paraId="7EA550E2">
      <w:pPr>
        <w:pStyle w:val="8"/>
        <w:numPr>
          <w:ilvl w:val="0"/>
          <w:numId w:val="3"/>
        </w:numPr>
      </w:pPr>
      <w:r>
        <w:t>выполнение работ с нарушением требований безопасности при работе на высоте;</w:t>
      </w:r>
    </w:p>
    <w:p w14:paraId="271CEF0E">
      <w:pPr>
        <w:pStyle w:val="8"/>
        <w:numPr>
          <w:ilvl w:val="0"/>
          <w:numId w:val="3"/>
        </w:numPr>
      </w:pPr>
      <w:r>
        <w:t>использование оборудования, не предназначенного для эксплуатации на открытом воздухе.</w:t>
      </w:r>
    </w:p>
    <w:p w14:paraId="1C0BB6CB">
      <w:pPr>
        <w:pStyle w:val="4"/>
        <w:rPr>
          <w:sz w:val="24"/>
          <w:szCs w:val="24"/>
        </w:rPr>
      </w:pPr>
      <w:r>
        <w:rPr>
          <w:sz w:val="24"/>
          <w:szCs w:val="24"/>
        </w:rPr>
        <w:t>9. Стоимость работ</w:t>
      </w:r>
    </w:p>
    <w:p w14:paraId="087040E6">
      <w:pPr>
        <w:pStyle w:val="8"/>
      </w:pPr>
      <w:r>
        <w:t xml:space="preserve">Цена предложения должна включать </w:t>
      </w:r>
      <w:r>
        <w:rPr>
          <w:rStyle w:val="7"/>
          <w:rFonts w:eastAsiaTheme="majorEastAsia"/>
        </w:rPr>
        <w:t>все расходы Исполнителя</w:t>
      </w:r>
      <w:r>
        <w:t>, необходимые для полного и качественного выполнения работ, в том числе:</w:t>
      </w:r>
    </w:p>
    <w:p w14:paraId="70CD8F87">
      <w:pPr>
        <w:pStyle w:val="8"/>
        <w:numPr>
          <w:ilvl w:val="0"/>
          <w:numId w:val="4"/>
        </w:numPr>
      </w:pPr>
      <w:r>
        <w:t xml:space="preserve">стоимость  гирлянд «Водопад» </w:t>
      </w:r>
      <w:r>
        <w:rPr>
          <w:lang w:val="kk-KZ"/>
        </w:rPr>
        <w:t>общая</w:t>
      </w:r>
      <w:r>
        <w:rPr>
          <w:rFonts w:hint="default"/>
          <w:lang w:val="kk-KZ"/>
        </w:rPr>
        <w:t xml:space="preserve"> длина 80 метров</w:t>
      </w:r>
    </w:p>
    <w:p w14:paraId="73C94FA5">
      <w:pPr>
        <w:pStyle w:val="8"/>
        <w:numPr>
          <w:ilvl w:val="0"/>
          <w:numId w:val="4"/>
        </w:numPr>
      </w:pPr>
      <w:r>
        <w:t>доставку материалов и оборудования;</w:t>
      </w:r>
    </w:p>
    <w:p w14:paraId="0D017251">
      <w:pPr>
        <w:pStyle w:val="8"/>
        <w:numPr>
          <w:ilvl w:val="0"/>
          <w:numId w:val="4"/>
        </w:numPr>
      </w:pPr>
      <w:r>
        <w:t>погрузочно-разгрузочные работы;</w:t>
      </w:r>
    </w:p>
    <w:p w14:paraId="0B8B4D31">
      <w:pPr>
        <w:pStyle w:val="8"/>
        <w:numPr>
          <w:ilvl w:val="0"/>
          <w:numId w:val="4"/>
        </w:numPr>
      </w:pPr>
      <w:r>
        <w:t>транспортные расходы;</w:t>
      </w:r>
    </w:p>
    <w:p w14:paraId="7A1D1A61">
      <w:pPr>
        <w:pStyle w:val="8"/>
        <w:numPr>
          <w:ilvl w:val="0"/>
          <w:numId w:val="4"/>
        </w:numPr>
      </w:pPr>
      <w:r>
        <w:t>монтаж;</w:t>
      </w:r>
    </w:p>
    <w:p w14:paraId="49E25971">
      <w:pPr>
        <w:pStyle w:val="8"/>
        <w:numPr>
          <w:ilvl w:val="0"/>
          <w:numId w:val="4"/>
        </w:numPr>
      </w:pPr>
      <w:r>
        <w:t>автовышку/автогидроподъёмник;</w:t>
      </w:r>
    </w:p>
    <w:p w14:paraId="0B8E14AD">
      <w:pPr>
        <w:pStyle w:val="8"/>
        <w:numPr>
          <w:ilvl w:val="0"/>
          <w:numId w:val="4"/>
        </w:numPr>
      </w:pPr>
      <w:r>
        <w:t>работу монтажного персонала;</w:t>
      </w:r>
    </w:p>
    <w:p w14:paraId="64BBF568">
      <w:pPr>
        <w:pStyle w:val="8"/>
        <w:numPr>
          <w:ilvl w:val="0"/>
          <w:numId w:val="4"/>
        </w:numPr>
      </w:pPr>
      <w:r>
        <w:t>электрические кабели;</w:t>
      </w:r>
    </w:p>
    <w:p w14:paraId="19C27857">
      <w:pPr>
        <w:pStyle w:val="8"/>
        <w:numPr>
          <w:ilvl w:val="0"/>
          <w:numId w:val="4"/>
        </w:numPr>
      </w:pPr>
      <w:r>
        <w:t>удлинители;</w:t>
      </w:r>
    </w:p>
    <w:p w14:paraId="548F681D">
      <w:pPr>
        <w:pStyle w:val="8"/>
        <w:numPr>
          <w:ilvl w:val="0"/>
          <w:numId w:val="4"/>
        </w:numPr>
      </w:pPr>
      <w:r>
        <w:t>переходники;</w:t>
      </w:r>
    </w:p>
    <w:p w14:paraId="1C99F774">
      <w:pPr>
        <w:pStyle w:val="8"/>
        <w:numPr>
          <w:ilvl w:val="0"/>
          <w:numId w:val="4"/>
        </w:numPr>
      </w:pPr>
      <w:r>
        <w:t>разъёмы и соединители;</w:t>
      </w:r>
    </w:p>
    <w:p w14:paraId="59B6EB97">
      <w:pPr>
        <w:pStyle w:val="8"/>
        <w:numPr>
          <w:ilvl w:val="0"/>
          <w:numId w:val="4"/>
        </w:numPr>
      </w:pPr>
      <w:r>
        <w:t>крепёжные материалы;</w:t>
      </w:r>
    </w:p>
    <w:p w14:paraId="5978E083">
      <w:pPr>
        <w:pStyle w:val="8"/>
        <w:numPr>
          <w:ilvl w:val="0"/>
          <w:numId w:val="4"/>
        </w:numPr>
      </w:pPr>
      <w:r>
        <w:t>хомуты и скобы;</w:t>
      </w:r>
    </w:p>
    <w:p w14:paraId="0D49E792">
      <w:pPr>
        <w:pStyle w:val="8"/>
        <w:numPr>
          <w:ilvl w:val="0"/>
          <w:numId w:val="4"/>
        </w:numPr>
      </w:pPr>
      <w:r>
        <w:t>изоляционные и герметизирующие материалы;</w:t>
      </w:r>
    </w:p>
    <w:p w14:paraId="674587AE">
      <w:pPr>
        <w:pStyle w:val="8"/>
        <w:numPr>
          <w:ilvl w:val="0"/>
          <w:numId w:val="4"/>
        </w:numPr>
      </w:pPr>
      <w:r>
        <w:t>иные расходные материалы;</w:t>
      </w:r>
    </w:p>
    <w:p w14:paraId="71730E87">
      <w:pPr>
        <w:pStyle w:val="8"/>
        <w:numPr>
          <w:ilvl w:val="0"/>
          <w:numId w:val="4"/>
        </w:numPr>
      </w:pPr>
      <w:r>
        <w:t>инструменты и оборудование;</w:t>
      </w:r>
    </w:p>
    <w:p w14:paraId="66013598">
      <w:pPr>
        <w:pStyle w:val="8"/>
        <w:numPr>
          <w:ilvl w:val="0"/>
          <w:numId w:val="4"/>
        </w:numPr>
      </w:pPr>
      <w:r>
        <w:t>средства индивидуальной защиты работников;</w:t>
      </w:r>
    </w:p>
    <w:p w14:paraId="5771FF6E">
      <w:pPr>
        <w:pStyle w:val="8"/>
        <w:numPr>
          <w:ilvl w:val="0"/>
          <w:numId w:val="4"/>
        </w:numPr>
      </w:pPr>
      <w:r>
        <w:t>электрические комплектующие;</w:t>
      </w:r>
    </w:p>
    <w:p w14:paraId="4B60F86D">
      <w:pPr>
        <w:pStyle w:val="8"/>
        <w:numPr>
          <w:ilvl w:val="0"/>
          <w:numId w:val="4"/>
        </w:numPr>
      </w:pPr>
      <w:r>
        <w:t>иные расходы, необходимые для надлежащего выполнения работ.</w:t>
      </w:r>
    </w:p>
    <w:p w14:paraId="622742CA">
      <w:pPr>
        <w:pStyle w:val="8"/>
      </w:pPr>
      <w:r>
        <w:rPr>
          <w:rStyle w:val="7"/>
          <w:rFonts w:eastAsiaTheme="majorEastAsia"/>
        </w:rPr>
        <w:t>Все расходные материалы, оборудование, механизмы, транспортные расходы и работы, необходимые для выполнения работ, должны быть включены в стоимость предложения. Дополнительная оплата со стороны Заказчика не производится.</w:t>
      </w:r>
    </w:p>
    <w:p w14:paraId="126F40F2">
      <w:pPr>
        <w:pStyle w:val="8"/>
        <w:rPr>
          <w:sz w:val="24"/>
          <w:szCs w:val="24"/>
        </w:rPr>
      </w:pPr>
      <w:r>
        <w:rPr>
          <w:sz w:val="24"/>
          <w:szCs w:val="24"/>
        </w:rPr>
        <w:t>11. Гарантийные обязательства</w:t>
      </w:r>
    </w:p>
    <w:p w14:paraId="511B3823">
      <w:pPr>
        <w:pStyle w:val="8"/>
        <w:rPr>
          <w:rFonts w:hint="default"/>
          <w:lang w:val="kk-KZ"/>
        </w:rPr>
      </w:pPr>
      <w:r>
        <w:t>Исполнитель гарантирует исправность и надёжность выполненных монтажных работ на период эксплуатации, установленный Заказчиком</w:t>
      </w:r>
      <w:r>
        <w:rPr>
          <w:rFonts w:hint="default"/>
          <w:lang w:val="kk-KZ"/>
        </w:rPr>
        <w:t xml:space="preserve"> 12 месяцев </w:t>
      </w:r>
    </w:p>
    <w:p w14:paraId="1C4587B6">
      <w:pPr>
        <w:pStyle w:val="8"/>
      </w:pPr>
      <w:r>
        <w:t>В случае выявления недостатков монтажа, ослабления креплений, неисправности соединений или иных недостатков, возникших по вине Исполнителя, Исполнитель обязан устранить их за свой счёт в течение срока, согласованного с Заказчиком.</w:t>
      </w:r>
    </w:p>
    <w:p w14:paraId="3274014C">
      <w:pPr>
        <w:pStyle w:val="4"/>
        <w:rPr>
          <w:sz w:val="24"/>
          <w:szCs w:val="24"/>
        </w:rPr>
      </w:pPr>
      <w:r>
        <w:rPr>
          <w:sz w:val="24"/>
          <w:szCs w:val="24"/>
        </w:rPr>
        <w:t>12. Порядок приёмки выполненных работ</w:t>
      </w:r>
    </w:p>
    <w:p w14:paraId="27629295">
      <w:pPr>
        <w:pStyle w:val="8"/>
      </w:pPr>
      <w:r>
        <w:t>Выполненные работы принимаются Заказчиком после завершения монтажных работ и проверки:</w:t>
      </w:r>
    </w:p>
    <w:p w14:paraId="0B9E2D08">
      <w:pPr>
        <w:pStyle w:val="8"/>
        <w:numPr>
          <w:ilvl w:val="0"/>
          <w:numId w:val="5"/>
        </w:numPr>
      </w:pPr>
      <w:r>
        <w:t>соответствия количества установленных элементов технической спецификации;</w:t>
      </w:r>
    </w:p>
    <w:p w14:paraId="4E3249A6">
      <w:pPr>
        <w:pStyle w:val="8"/>
        <w:numPr>
          <w:ilvl w:val="0"/>
          <w:numId w:val="5"/>
        </w:numPr>
      </w:pPr>
      <w:r>
        <w:t>качества и равномерности оформления фасада;</w:t>
      </w:r>
    </w:p>
    <w:p w14:paraId="7A40328D">
      <w:pPr>
        <w:pStyle w:val="8"/>
        <w:numPr>
          <w:ilvl w:val="0"/>
          <w:numId w:val="5"/>
        </w:numPr>
      </w:pPr>
      <w:r>
        <w:t>надёжности крепления;</w:t>
      </w:r>
    </w:p>
    <w:p w14:paraId="0BE055D8">
      <w:pPr>
        <w:pStyle w:val="8"/>
        <w:numPr>
          <w:ilvl w:val="0"/>
          <w:numId w:val="5"/>
        </w:numPr>
      </w:pPr>
      <w:r>
        <w:t>исправности световых элементов;</w:t>
      </w:r>
    </w:p>
    <w:p w14:paraId="3849F472">
      <w:pPr>
        <w:pStyle w:val="8"/>
        <w:numPr>
          <w:ilvl w:val="0"/>
          <w:numId w:val="5"/>
        </w:numPr>
      </w:pPr>
      <w:r>
        <w:t>безопасности электрического подключения;</w:t>
      </w:r>
    </w:p>
    <w:p w14:paraId="08337D01">
      <w:pPr>
        <w:pStyle w:val="8"/>
        <w:numPr>
          <w:ilvl w:val="0"/>
          <w:numId w:val="5"/>
        </w:numPr>
      </w:pPr>
      <w:r>
        <w:t>соответствия требованиям настоящей технической спецификации.</w:t>
      </w:r>
    </w:p>
    <w:p w14:paraId="1574F34E">
      <w:pPr>
        <w:rPr>
          <w:rFonts w:ascii="Times New Roman" w:hAnsi="Times New Roman" w:cs="Times New Roman"/>
          <w:sz w:val="24"/>
          <w:szCs w:val="24"/>
        </w:rPr>
      </w:pPr>
    </w:p>
    <w:p w14:paraId="5BDE648D">
      <w:pPr>
        <w:rPr>
          <w:rFonts w:ascii="Times New Roman" w:hAnsi="Times New Roman" w:cs="Times New Roman"/>
          <w:sz w:val="24"/>
          <w:szCs w:val="24"/>
        </w:rPr>
      </w:pPr>
    </w:p>
    <w:p w14:paraId="6AA84CCD">
      <w:pPr>
        <w:rPr>
          <w:rFonts w:ascii="Times New Roman" w:hAnsi="Times New Roman" w:cs="Times New Roman"/>
          <w:sz w:val="24"/>
          <w:szCs w:val="24"/>
        </w:rPr>
      </w:pPr>
    </w:p>
    <w:p w14:paraId="345DC67A">
      <w:pPr>
        <w:rPr>
          <w:rFonts w:ascii="Times New Roman" w:hAnsi="Times New Roman" w:cs="Times New Roman"/>
          <w:sz w:val="24"/>
          <w:szCs w:val="24"/>
        </w:rPr>
      </w:pPr>
    </w:p>
    <w:p w14:paraId="0E8242DB">
      <w:pPr>
        <w:rPr>
          <w:rFonts w:ascii="Times New Roman" w:hAnsi="Times New Roman" w:cs="Times New Roman"/>
          <w:sz w:val="24"/>
          <w:szCs w:val="24"/>
        </w:rPr>
      </w:pPr>
    </w:p>
    <w:p w14:paraId="047A423F">
      <w:pPr>
        <w:rPr>
          <w:rFonts w:ascii="Times New Roman" w:hAnsi="Times New Roman" w:cs="Times New Roman"/>
          <w:sz w:val="24"/>
          <w:szCs w:val="24"/>
        </w:rPr>
      </w:pPr>
    </w:p>
    <w:p w14:paraId="78864C2E">
      <w:pPr>
        <w:rPr>
          <w:rFonts w:ascii="Times New Roman" w:hAnsi="Times New Roman" w:cs="Times New Roman"/>
          <w:sz w:val="24"/>
          <w:szCs w:val="24"/>
        </w:rPr>
      </w:pPr>
    </w:p>
    <w:p w14:paraId="10FAFC9C">
      <w:pPr>
        <w:rPr>
          <w:rFonts w:ascii="Times New Roman" w:hAnsi="Times New Roman" w:cs="Times New Roman"/>
          <w:sz w:val="24"/>
          <w:szCs w:val="24"/>
        </w:rPr>
      </w:pPr>
    </w:p>
    <w:p w14:paraId="64F6F865">
      <w:pPr>
        <w:rPr>
          <w:rFonts w:ascii="Times New Roman" w:hAnsi="Times New Roman" w:cs="Times New Roman"/>
          <w:sz w:val="24"/>
          <w:szCs w:val="24"/>
        </w:rPr>
      </w:pPr>
    </w:p>
    <w:p w14:paraId="3013BB92">
      <w:pPr>
        <w:rPr>
          <w:rFonts w:ascii="Times New Roman" w:hAnsi="Times New Roman" w:cs="Times New Roman"/>
          <w:sz w:val="24"/>
          <w:szCs w:val="24"/>
        </w:rPr>
      </w:pPr>
    </w:p>
    <w:p w14:paraId="4286628D">
      <w:pPr>
        <w:rPr>
          <w:rFonts w:ascii="Times New Roman" w:hAnsi="Times New Roman" w:cs="Times New Roman"/>
          <w:sz w:val="24"/>
          <w:szCs w:val="24"/>
        </w:rPr>
      </w:pPr>
    </w:p>
    <w:p w14:paraId="2F57BA1C">
      <w:pPr>
        <w:rPr>
          <w:rFonts w:ascii="Times New Roman" w:hAnsi="Times New Roman" w:cs="Times New Roman"/>
          <w:sz w:val="24"/>
          <w:szCs w:val="24"/>
        </w:rPr>
      </w:pPr>
    </w:p>
    <w:p w14:paraId="2EDAB748">
      <w:pPr>
        <w:rPr>
          <w:rFonts w:ascii="Times New Roman" w:hAnsi="Times New Roman" w:cs="Times New Roman"/>
          <w:sz w:val="24"/>
          <w:szCs w:val="24"/>
        </w:rPr>
      </w:pPr>
    </w:p>
    <w:p w14:paraId="7B4581A9">
      <w:pPr>
        <w:rPr>
          <w:rFonts w:ascii="Times New Roman" w:hAnsi="Times New Roman" w:cs="Times New Roman"/>
          <w:sz w:val="24"/>
          <w:szCs w:val="24"/>
        </w:rPr>
      </w:pPr>
    </w:p>
    <w:p w14:paraId="08A923BF">
      <w:pPr>
        <w:rPr>
          <w:rFonts w:ascii="Times New Roman" w:hAnsi="Times New Roman" w:cs="Times New Roman"/>
          <w:sz w:val="24"/>
          <w:szCs w:val="24"/>
        </w:rPr>
      </w:pPr>
    </w:p>
    <w:p w14:paraId="5AEFA71D">
      <w:pPr>
        <w:rPr>
          <w:rFonts w:ascii="Times New Roman" w:hAnsi="Times New Roman" w:cs="Times New Roman"/>
          <w:sz w:val="24"/>
          <w:szCs w:val="24"/>
        </w:rPr>
      </w:pPr>
    </w:p>
    <w:p w14:paraId="4F9E2115">
      <w:pPr>
        <w:rPr>
          <w:rFonts w:ascii="Times New Roman" w:hAnsi="Times New Roman" w:cs="Times New Roman"/>
          <w:sz w:val="24"/>
          <w:szCs w:val="24"/>
        </w:rPr>
      </w:pPr>
    </w:p>
    <w:p w14:paraId="333A9332">
      <w:pPr>
        <w:rPr>
          <w:rFonts w:ascii="Times New Roman" w:hAnsi="Times New Roman" w:cs="Times New Roman"/>
          <w:sz w:val="24"/>
          <w:szCs w:val="24"/>
        </w:rPr>
      </w:pPr>
    </w:p>
    <w:p w14:paraId="4158C25A">
      <w:pPr>
        <w:rPr>
          <w:rFonts w:ascii="Times New Roman" w:hAnsi="Times New Roman" w:cs="Times New Roman"/>
          <w:sz w:val="24"/>
          <w:szCs w:val="24"/>
        </w:rPr>
      </w:pPr>
    </w:p>
    <w:p w14:paraId="13278AB5">
      <w:pPr>
        <w:rPr>
          <w:rFonts w:ascii="Times New Roman" w:hAnsi="Times New Roman" w:cs="Times New Roman"/>
          <w:sz w:val="24"/>
          <w:szCs w:val="24"/>
        </w:rPr>
      </w:pPr>
    </w:p>
    <w:p w14:paraId="782D9A73">
      <w:pPr>
        <w:rPr>
          <w:rFonts w:ascii="Times New Roman" w:hAnsi="Times New Roman" w:cs="Times New Roman"/>
          <w:sz w:val="24"/>
          <w:szCs w:val="24"/>
        </w:rPr>
      </w:pPr>
    </w:p>
    <w:p w14:paraId="1E707AB6">
      <w:pPr>
        <w:rPr>
          <w:rFonts w:ascii="Times New Roman" w:hAnsi="Times New Roman" w:cs="Times New Roman"/>
          <w:sz w:val="24"/>
          <w:szCs w:val="24"/>
        </w:rPr>
      </w:pPr>
    </w:p>
    <w:p w14:paraId="38B0AC7F">
      <w:pPr>
        <w:rPr>
          <w:rFonts w:ascii="Times New Roman" w:hAnsi="Times New Roman" w:cs="Times New Roman"/>
          <w:sz w:val="24"/>
          <w:szCs w:val="24"/>
        </w:rPr>
      </w:pPr>
    </w:p>
    <w:p w14:paraId="2905660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4F287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ғимараттың қасбетін жаңа жылдық көше безендіру бойынша жұмыстарды орындауға</w:t>
      </w:r>
    </w:p>
    <w:p w14:paraId="5EEABE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Жұмыстардың атауы</w:t>
      </w:r>
    </w:p>
    <w:p w14:paraId="6E895C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Материалдарды жеткізуді, жеткізуді, монтаждауды, электр қосуды, бекітуді қоса алғанда, көшедегі сәндік жарық элементтерін пайдалана отырып, екі қабатты ғимараттың қасбетін жаңа жылдық мерекелік безендіру бойынша жұмыстарды орындау </w:t>
      </w:r>
    </w:p>
    <w:p w14:paraId="26A7B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Жалпы талаптар</w:t>
      </w:r>
    </w:p>
    <w:p w14:paraId="0BE678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Орындаушы екі қабатты ғимараттың қасбетін жаңа жылдық мерекелік безендіру бойынша жұмыстар кешенін орындауға міндетті.</w:t>
      </w:r>
    </w:p>
    <w:p w14:paraId="23A878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Дизайн ашық ауада пайдалануға арналған ақ түсті жеңіл сәндік элементтерді қолдану арқылы жүзеге асырылады.</w:t>
      </w:r>
    </w:p>
    <w:p w14:paraId="11219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Барлық жұмыстар ғимараттың қасбеті бойынша жарық элементтерінің біркелкі және эстетикалық орналасуын қамтамасыз ете отырып, сапалы, ұқыпты және қауіпсіз орындалуы керек.</w:t>
      </w:r>
    </w:p>
    <w:p w14:paraId="511D3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Жеңіл жабдықтар мен материалдар атмосфералық жауын-шашынның, желдің және аязды температураның әсерінен ашық ауада пайдалануға жарамды болуы тиіс.</w:t>
      </w:r>
    </w:p>
    <w:p w14:paraId="69452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Негізгі техникалық сипаттамалары</w:t>
      </w:r>
    </w:p>
    <w:p w14:paraId="1C98FA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Атауы Техникалық сипаттамалары Саны</w:t>
      </w:r>
    </w:p>
    <w:p w14:paraId="33D134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сәндік жаңа жылдық элементтер "Жарық таяқшасы" / жарықдиодты түтік (түтік) сыртқы жарықдиодты жарық түтігі (түтік), ұзындығы 1 метр, жарқырау түсі ақ, қуат кернеуі 220 В, қорғаныс дәрежесі IP65-тен төмен емес, ылғалға төзімді және аязға төзімді сыммен (ПВХ, резеңке немесе силикон). Элемент сыртқы қолдануға арналған болуы керек.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50 дана.</w:t>
      </w:r>
    </w:p>
    <w:p w14:paraId="7BC53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"Сарқырама" гирляндасы "Сарқырама" типті көше жарықдиодты гирляндасы, жарқырау түсі ақ, өлшемі 6 × 3 м, сыртқы қолдануға арналған, ылғалға төзімді өнімділігі және электр желісіне қауіпсіз қосылу мүмкіндігі бар.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 дана.</w:t>
      </w:r>
    </w:p>
    <w:p w14:paraId="5906B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сәндік элементтерді орналастыру Тапсырыс берушімен келісілген орналастыру схемасына сәйкес қасбеттің сәулеттік элементтері бойынша біркелкі үлестіре отырып, екі қабатты ғимараттың қасбеті бойынша жарық элементтерін монтаждау.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 жұмыстар кешені</w:t>
      </w:r>
    </w:p>
    <w:p w14:paraId="713C3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бекіту құрылымдардың тұрақтылығын және ғимараттың қасбетінің сақталуын қамтамасыз ететін қажетті бекіту материалдарын пайдалана отырып, жарық элементтерін сенімді және қауіпсіз бекіту.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 жинақ</w:t>
      </w:r>
    </w:p>
    <w:p w14:paraId="2D93F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Электр байланысы жарық элементтерін электр қауіпсіздігі талаптарын сақтай отырып, объектінің қолданыстағы электр желісіне қосу.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04310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кабельдік өнім электр кабельдері, ұзартқыштар, жалғағыш сымдар және жарық жабдығын қосу үшін өзге де қажетті элементтер.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7D572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адаптерлер мен қосқыш элементтер барлық қажетті адаптерлер, қосқыштар, коннекторлар, дистрибьюторлар, қосқыштар және монтаждау мен қосуға арналған басқа компоненттер.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2A8B7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Электр қосылыстарын қорғау сыртқы пайдалануға арналған материалдарды пайдалана отырып, электр қосылыстарын ылғалдың, атмосфералық жауын-шашынның және теріс температураның әсерінен қорғау.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D897D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көтеру құралдары екі қабатты ғимараттың қасбетінде монтаждау жұмыстарын орындау үшін АВТО мұнараны, автогидро көтергішті не қауіпсіздік талаптарына сәйкес келетін басқа да көтергіш жабдықты беру және пайдалану.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E8DD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Монтаждау Монтаждау 50 Жарық декоративті элементтері және 2 "Сарқырама" гирляндасы, оның ішінде орнату, бекіту, қажетті кабельдерді төсеу және электр байланысы.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2E17F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FEADE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шығын материалдары барлық қажетті шығын материалдары: бекіткіштер, кабельдер, ұзартқыштар, адаптерлер, қосқыштар, қысқыштар, қапсырмалар, оқшаулағыш және герметикалық материалдар және өзге де жиынтықтауыштар.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06943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Жеңіл сәндік элементтерге қойылатын талаптар</w:t>
      </w:r>
    </w:p>
    <w:p w14:paraId="71555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Жеңіл сәндік элементтер:</w:t>
      </w:r>
    </w:p>
    <w:p w14:paraId="72B16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ашық ауада пайдалануға арналған;</w:t>
      </w:r>
    </w:p>
    <w:p w14:paraId="1B1CB8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әрқайсысының ұзындығы 1 метр;</w:t>
      </w:r>
    </w:p>
    <w:p w14:paraId="37F1B3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жарқырау түсі ақ;</w:t>
      </w:r>
    </w:p>
    <w:p w14:paraId="4E7D3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220 В кернеуі бар;</w:t>
      </w:r>
    </w:p>
    <w:p w14:paraId="35AF4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қоршаған ортаның әсерінен қорғау дәрежесі IP65-тен төмен емес;</w:t>
      </w:r>
    </w:p>
    <w:p w14:paraId="210646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ылғалға төзімді және аязға төзімді сымға ие болыңыз;</w:t>
      </w:r>
    </w:p>
    <w:p w14:paraId="08C88F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жарамды және механикалық зақымдалмаған;</w:t>
      </w:r>
    </w:p>
    <w:p w14:paraId="1124BC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біртұтас құрылымға ие болыңыз;</w:t>
      </w:r>
    </w:p>
    <w:p w14:paraId="49546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жалаңаш ток өткізгіш бөліктері жоқ;</w:t>
      </w:r>
    </w:p>
    <w:p w14:paraId="472BA7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сенімді байланыстар мен бекіту элементтері бар;</w:t>
      </w:r>
    </w:p>
    <w:p w14:paraId="70D360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қасбеттің біркелкі жарық дизайнын қамтамасыз ету;</w:t>
      </w:r>
    </w:p>
    <w:p w14:paraId="7821C7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тиісті жабдыққа қолданылатын Қазақстан Республикасының қолданыстағы техникалық регламенттері мен нормативтік құжаттарының талаптарына сәйкес келу.</w:t>
      </w:r>
    </w:p>
    <w:p w14:paraId="42F54A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"Сарқырама" гирляндаларына қойылатын талаптар</w:t>
      </w:r>
    </w:p>
    <w:p w14:paraId="573EB6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Гирляндалар болуы керек:</w:t>
      </w:r>
    </w:p>
    <w:p w14:paraId="1BDFA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сыртқы қолдануға арналған;</w:t>
      </w:r>
    </w:p>
    <w:p w14:paraId="6D6363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жарқырау түсі ақ;</w:t>
      </w:r>
    </w:p>
    <w:p w14:paraId="18E86B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әрқайсысының өлшемі 6 × 3 м болуы керек;</w:t>
      </w:r>
    </w:p>
    <w:p w14:paraId="277244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ылғалға төзімді өнімділікке ие болыңыз;</w:t>
      </w:r>
    </w:p>
    <w:p w14:paraId="65C66B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теріс температурада пайдалануға жарамды болу;</w:t>
      </w:r>
    </w:p>
    <w:p w14:paraId="08079D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жарамды кабельдер, қосылыстар және жарық элементтері болуы керек;</w:t>
      </w:r>
    </w:p>
    <w:p w14:paraId="2727EA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электр желісіне қауіпсіз қосылу;</w:t>
      </w:r>
    </w:p>
    <w:p w14:paraId="4148E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қасбетке сенімді бекіту керек;</w:t>
      </w:r>
    </w:p>
    <w:p w14:paraId="25FAF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ток өткізгіш бөліктерге зақым келтірмеу.</w:t>
      </w:r>
    </w:p>
    <w:p w14:paraId="281020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Монтаждау жұмыстарын орындауға қойылатын талаптар</w:t>
      </w:r>
    </w:p>
    <w:p w14:paraId="0DAD7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Орнату екі қабатты ғимараттың қасбетінде жүзеге асырылады.</w:t>
      </w:r>
    </w:p>
    <w:p w14:paraId="51F74B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Орындаушы жұмысты орындау үшін қажетті жабдықты, құралдарды, персоналды және материалдарды дербес қамтамасыз етеді.</w:t>
      </w:r>
    </w:p>
    <w:p w14:paraId="170D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Монтаждау жұмыстарын жүргізу кезінде Орындаушы мыналарды қамтамасыз етуге міндетті:</w:t>
      </w:r>
    </w:p>
    <w:p w14:paraId="71AF5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жарамды АВТО мұнараны/автогидро көтергішті немесе өзге де қауіпсіз көтергіш жабдықты пайдалану;</w:t>
      </w:r>
    </w:p>
    <w:p w14:paraId="6EAFC7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биіктікте жұмыс істеу кезінде қауіпсіздік талаптарын сақтау;</w:t>
      </w:r>
    </w:p>
    <w:p w14:paraId="688BA3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барлық элементтерді сенімді бекіту;</w:t>
      </w:r>
    </w:p>
    <w:p w14:paraId="50139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электр кабельдерін қауіпсіз төсеу;</w:t>
      </w:r>
    </w:p>
    <w:p w14:paraId="1B690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электр қосылыстарын ылғалдан қорғау;</w:t>
      </w:r>
    </w:p>
    <w:p w14:paraId="27759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еркін ілулі және қауіпті сымдардың болмауы;</w:t>
      </w:r>
    </w:p>
    <w:p w14:paraId="64C5DD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сәндік элементтердің құлау қаупінің болмауы;</w:t>
      </w:r>
    </w:p>
    <w:p w14:paraId="15DEC1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ғимараттың қасбетін сақтау.</w:t>
      </w:r>
    </w:p>
    <w:p w14:paraId="1DB822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Ғимараттың қасбетіне қойылатын талаптар</w:t>
      </w:r>
    </w:p>
    <w:p w14:paraId="3C1415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Жарық элементтерін бекіту ғимараттың қасбетіне негізсіз зақым келтірмеу үшін жүзеге асырылуы тиіс.</w:t>
      </w:r>
    </w:p>
    <w:p w14:paraId="699851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Қауіпсіздік талаптары</w:t>
      </w:r>
    </w:p>
    <w:p w14:paraId="1387D3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Рұқсат етілмейді:</w:t>
      </w:r>
    </w:p>
    <w:p w14:paraId="5CCA0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зақымдалған Жарық жабдықтарын пайдалану;</w:t>
      </w:r>
    </w:p>
    <w:p w14:paraId="4CF47D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зақымдалған кабельдерді, қосқыштарды және қосқыштарды пайдалану;</w:t>
      </w:r>
    </w:p>
    <w:p w14:paraId="5A6DF6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жалаңаш ток өткізгіш бөліктердің болуы;</w:t>
      </w:r>
    </w:p>
    <w:p w14:paraId="479274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адамдардың өмірі мен денсаулығына қауіп төндіретін кабельдерді төсеу;</w:t>
      </w:r>
    </w:p>
    <w:p w14:paraId="587939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ақаулы АВТО мұнараны немесе басқа көтергіш жабдықты пайдалану;</w:t>
      </w:r>
    </w:p>
    <w:p w14:paraId="3D90A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жарық элементтерін сенімсіз бекіту;</w:t>
      </w:r>
    </w:p>
    <w:p w14:paraId="7235C5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биіктікте жұмыс істеу кезінде қауіпсіздік талаптарын бұза отырып жұмыстарды орындау;</w:t>
      </w:r>
    </w:p>
    <w:p w14:paraId="13DAF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ашық ауада пайдалануға арналмаған жабдықты пайдалану.</w:t>
      </w:r>
    </w:p>
    <w:p w14:paraId="52968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Жұмыс құны</w:t>
      </w:r>
    </w:p>
    <w:p w14:paraId="72E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Ұсыныс бағасы жұмысты толық және сапалы орындау үшін қажетті Орындаушының барлық шығындарын қамтуы керек, соның ішінде:</w:t>
      </w:r>
    </w:p>
    <w:p w14:paraId="0DF9A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ұзындығы 1 метр болатын 50 жеңіл сәндік элементтердің құны;</w:t>
      </w:r>
    </w:p>
    <w:p w14:paraId="3D6DF7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2 "Сарқырама" гирляндасының құны 6 × 3 м;</w:t>
      </w:r>
    </w:p>
    <w:p w14:paraId="3EBC9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материалдар мен жабдықтарды жеткізу;</w:t>
      </w:r>
    </w:p>
    <w:p w14:paraId="633867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тиеу-түсіру жұмыстары;</w:t>
      </w:r>
    </w:p>
    <w:p w14:paraId="05E791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көлік шығындары;</w:t>
      </w:r>
    </w:p>
    <w:p w14:paraId="1FBB8E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орнату;</w:t>
      </w:r>
    </w:p>
    <w:p w14:paraId="795D6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АВТО-мұнара / АВТО-гидравликалық лифт;</w:t>
      </w:r>
    </w:p>
    <w:p w14:paraId="0E7475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монтаждау персоналының жұмысы;</w:t>
      </w:r>
    </w:p>
    <w:p w14:paraId="24C126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электр кабельдері;</w:t>
      </w:r>
    </w:p>
    <w:p w14:paraId="20DCC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ұзартқыш сымдар;</w:t>
      </w:r>
    </w:p>
    <w:p w14:paraId="50F4E3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адаптерлер;</w:t>
      </w:r>
    </w:p>
    <w:p w14:paraId="5DBF51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қосқыштар мен қосқыштар;</w:t>
      </w:r>
    </w:p>
    <w:p w14:paraId="0F95B6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бекіту материалдары;</w:t>
      </w:r>
    </w:p>
    <w:p w14:paraId="7D9442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қысқыштар мен қапсырмалар;</w:t>
      </w:r>
    </w:p>
    <w:p w14:paraId="3BD1A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оқшаулағыш және тығыздағыш материалдар;</w:t>
      </w:r>
    </w:p>
    <w:p w14:paraId="752BA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басқа шығын материалдары;</w:t>
      </w:r>
    </w:p>
    <w:p w14:paraId="27D2BE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құралдар мен жабдықтар;</w:t>
      </w:r>
    </w:p>
    <w:p w14:paraId="5AD364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қызметкерлерді жеке қорғау құралдары;</w:t>
      </w:r>
    </w:p>
    <w:p w14:paraId="7ACDF9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электр компоненттері;</w:t>
      </w:r>
    </w:p>
    <w:p w14:paraId="4AF395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жұмыстарды тиісінше орындау үшін қажетті өзге де шығыстар.</w:t>
      </w:r>
    </w:p>
    <w:p w14:paraId="7DA89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Жұмысты орындау үшін қажетті барлық шығын материалдары, жабдықтар, механизмдер, көлік шығындары және жұмыстар ұсыныс құнына қосылуы керек. Тапсырыс беруші тарапынан қосымша төлем жасалмайды.</w:t>
      </w:r>
    </w:p>
    <w:p w14:paraId="48000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Жұмыстың нәтижесі</w:t>
      </w:r>
    </w:p>
    <w:p w14:paraId="44AEFF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Жұмыстың нәтижесі екі қабатты ғимараттың қасбетін толығымен орындалған жаңа жылдық көше дизайны болып табылады, оның ішінде:</w:t>
      </w:r>
    </w:p>
    <w:p w14:paraId="089F2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50 дана. ұзындығы 1 метр, ақ түсті жеңіл сәндік элементтер;</w:t>
      </w:r>
    </w:p>
    <w:p w14:paraId="5C73B5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2 дана "Сарқырама" көше жарықдиодты шамдары, өлшемі 6 × 3 м, ақ түсті;</w:t>
      </w:r>
    </w:p>
    <w:p w14:paraId="5E1286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оларды жеткізу;</w:t>
      </w:r>
    </w:p>
    <w:p w14:paraId="07C3F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орнату;</w:t>
      </w:r>
    </w:p>
    <w:p w14:paraId="04D35D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сенімді бекіту;</w:t>
      </w:r>
    </w:p>
    <w:p w14:paraId="3BC1F7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электр байланысы;</w:t>
      </w:r>
    </w:p>
    <w:p w14:paraId="1B2FC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қажетті кабельдермен, адаптерлермен, қосқыштармен және шығын материалдарымен қамтамасыз ету;</w:t>
      </w:r>
    </w:p>
    <w:p w14:paraId="1382DC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қажетті көтергіш жабдықты пайдалану;</w:t>
      </w:r>
    </w:p>
    <w:p w14:paraId="1E6454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Кепілдік міндеттемелері</w:t>
      </w:r>
    </w:p>
    <w:p w14:paraId="0A186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Орындаушы Тапсырыс беруші белгілеген пайдалану кезеңінде орындалған монтаждау жұмыстарының жарамдылығы мен сенімділігіне кепілдік береді.</w:t>
      </w:r>
    </w:p>
    <w:p w14:paraId="653F8D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Монтаждау кемшіліктері, бекітпелердің әлсіреуі, қосылыстардың ақаулары немесе Орындаушының кінәсінен туындаған өзге де кемшіліктер анықталған жағдайда Орындаушы оларды Тапсырыс берушімен келісілген мерзім ішінде өз есебінен жоюға міндетті.</w:t>
      </w:r>
    </w:p>
    <w:p w14:paraId="521AA4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Орындалған жұмыстарды қабылдау тәртібі</w:t>
      </w:r>
    </w:p>
    <w:p w14:paraId="63218F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Орындалған жұмыстарды Тапсырыс беруші монтаждау жұмыстары мен тексеру аяқталғаннан кейін қабылдайды:</w:t>
      </w:r>
    </w:p>
    <w:p w14:paraId="1998A4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белгіленген элементтер санының техникалық сипаттамаға сәйкестігі;</w:t>
      </w:r>
    </w:p>
    <w:p w14:paraId="0FE1B6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қасбеттің сапасы мен біркелкілігі;</w:t>
      </w:r>
    </w:p>
    <w:p w14:paraId="61287C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бекіту сенімділігі;</w:t>
      </w:r>
    </w:p>
    <w:p w14:paraId="693A73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Жарық элементтерінің жарамдылығы;</w:t>
      </w:r>
    </w:p>
    <w:p w14:paraId="026A48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электр қосылымының қауіпсіздігі;</w:t>
      </w:r>
    </w:p>
    <w:p w14:paraId="7492CC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осы техникалық ерекшеліктің талаптарына сәйкестігі.</w:t>
      </w:r>
    </w:p>
    <w:sectPr>
      <w:pgSz w:w="11906" w:h="16838"/>
      <w:pgMar w:top="640" w:right="580" w:bottom="426" w:left="1503" w:header="720" w:footer="72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E71B6E"/>
    <w:multiLevelType w:val="multilevel"/>
    <w:tmpl w:val="17E71B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44F657E5"/>
    <w:multiLevelType w:val="multilevel"/>
    <w:tmpl w:val="44F657E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45A76576"/>
    <w:multiLevelType w:val="multilevel"/>
    <w:tmpl w:val="45A765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569B3AF5"/>
    <w:multiLevelType w:val="multilevel"/>
    <w:tmpl w:val="569B3A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57E076AE"/>
    <w:multiLevelType w:val="multilevel"/>
    <w:tmpl w:val="57E076A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677"/>
    <w:rsid w:val="0007310C"/>
    <w:rsid w:val="000F1A37"/>
    <w:rsid w:val="00194D8C"/>
    <w:rsid w:val="004F60BE"/>
    <w:rsid w:val="005C3168"/>
    <w:rsid w:val="0065287C"/>
    <w:rsid w:val="006D5677"/>
    <w:rsid w:val="0080642A"/>
    <w:rsid w:val="00AD6602"/>
    <w:rsid w:val="00BB1F26"/>
    <w:rsid w:val="00E247FA"/>
    <w:rsid w:val="00E53C97"/>
    <w:rsid w:val="00E92D0E"/>
    <w:rsid w:val="177F17D8"/>
    <w:rsid w:val="1A9B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link w:val="10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link w:val="11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22"/>
    <w:rPr>
      <w:b/>
      <w:bCs/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9">
    <w:name w:val="isselectedend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Заголовок 2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1">
    <w:name w:val="Заголовок 3 Знак"/>
    <w:basedOn w:val="5"/>
    <w:link w:val="4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2">
    <w:name w:val="Заголовок 1 Знак"/>
    <w:basedOn w:val="5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1749</Words>
  <Characters>12927</Characters>
  <Lines>113</Lines>
  <Paragraphs>32</Paragraphs>
  <TotalTime>19</TotalTime>
  <ScaleCrop>false</ScaleCrop>
  <LinksUpToDate>false</LinksUpToDate>
  <CharactersWithSpaces>14476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2026-10-08T11:08:00Z</dcterms:created>
  <dc:creator>User</dc:creator>
  <cp:lastModifiedBy>User</cp:lastModifiedBy>
  <cp:lastPrinted>2026-10-08T10:49:00Z</cp:lastPrinted>
  <dcterms:modified xsi:type="dcterms:W3CDTF">2026-10-13T10:47:27Z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eyJoZGlkIjoiYjdmMTk1ZDVmZTgwZmQwMDRmZjQ4YjM2ODBiMGU0NTIifQ==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18128728627346D692ABF96755079538_13</vt:lpwstr>
  </property>
</Properties>
</file>