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30C700">
      <w:pPr>
        <w:spacing w:before="69" w:line="252" w:lineRule="exact"/>
        <w:ind w:left="507" w:right="8"/>
        <w:jc w:val="center"/>
        <w:rPr>
          <w:b/>
        </w:rPr>
      </w:pPr>
      <w:r>
        <w:rPr>
          <w:b/>
        </w:rPr>
        <w:t>ТЕХНИЧЕСКАЯ</w:t>
      </w:r>
      <w:r>
        <w:rPr>
          <w:b/>
          <w:spacing w:val="-12"/>
        </w:rPr>
        <w:t xml:space="preserve"> </w:t>
      </w:r>
      <w:r>
        <w:rPr>
          <w:b/>
          <w:spacing w:val="-2"/>
        </w:rPr>
        <w:t>СПЕЦИФИКАЦИЯ</w:t>
      </w:r>
    </w:p>
    <w:p w14:paraId="7C4F2549">
      <w:pPr>
        <w:ind w:left="507"/>
        <w:jc w:val="center"/>
        <w:rPr>
          <w:b/>
        </w:rPr>
      </w:pPr>
      <w:r>
        <w:rPr>
          <w:b/>
        </w:rPr>
        <w:t>Обязательное</w:t>
      </w:r>
      <w:r>
        <w:rPr>
          <w:b/>
          <w:spacing w:val="-6"/>
        </w:rPr>
        <w:t xml:space="preserve"> </w:t>
      </w:r>
      <w:r>
        <w:rPr>
          <w:b/>
        </w:rPr>
        <w:t>страхование</w:t>
      </w:r>
      <w:r>
        <w:rPr>
          <w:b/>
          <w:spacing w:val="-6"/>
        </w:rPr>
        <w:t xml:space="preserve"> </w:t>
      </w:r>
      <w:r>
        <w:rPr>
          <w:b/>
        </w:rPr>
        <w:t>гражданско-правовой</w:t>
      </w:r>
      <w:r>
        <w:rPr>
          <w:b/>
          <w:spacing w:val="-6"/>
        </w:rPr>
        <w:t xml:space="preserve"> </w:t>
      </w:r>
      <w:r>
        <w:rPr>
          <w:b/>
        </w:rPr>
        <w:t>ответственности</w:t>
      </w:r>
      <w:r>
        <w:rPr>
          <w:b/>
          <w:spacing w:val="-9"/>
        </w:rPr>
        <w:t xml:space="preserve"> </w:t>
      </w:r>
      <w:r>
        <w:rPr>
          <w:b/>
        </w:rPr>
        <w:t>владельцев</w:t>
      </w:r>
      <w:r>
        <w:rPr>
          <w:b/>
          <w:spacing w:val="-2"/>
        </w:rPr>
        <w:t xml:space="preserve"> </w:t>
      </w:r>
      <w:r>
        <w:rPr>
          <w:b/>
        </w:rPr>
        <w:t xml:space="preserve">транспортных </w:t>
      </w:r>
      <w:r>
        <w:rPr>
          <w:b/>
          <w:spacing w:val="-2"/>
        </w:rPr>
        <w:t>средств</w:t>
      </w:r>
    </w:p>
    <w:p w14:paraId="03565D01">
      <w:pPr>
        <w:spacing w:before="253"/>
        <w:ind w:left="532" w:right="460"/>
        <w:jc w:val="both"/>
        <w:rPr>
          <w:sz w:val="24"/>
        </w:rPr>
      </w:pPr>
      <w:r>
        <w:rPr>
          <w:b/>
          <w:sz w:val="24"/>
        </w:rPr>
        <w:t>Объект</w:t>
      </w:r>
      <w:r>
        <w:rPr>
          <w:b/>
          <w:spacing w:val="-6"/>
          <w:sz w:val="24"/>
        </w:rPr>
        <w:t xml:space="preserve"> </w:t>
      </w:r>
      <w:r>
        <w:rPr>
          <w:b/>
          <w:sz w:val="24"/>
        </w:rPr>
        <w:t>обязательного</w:t>
      </w:r>
      <w:r>
        <w:rPr>
          <w:b/>
          <w:spacing w:val="-10"/>
          <w:sz w:val="24"/>
        </w:rPr>
        <w:t xml:space="preserve"> </w:t>
      </w:r>
      <w:r>
        <w:rPr>
          <w:b/>
          <w:sz w:val="24"/>
        </w:rPr>
        <w:t>страхования</w:t>
      </w:r>
      <w:r>
        <w:rPr>
          <w:b/>
          <w:spacing w:val="-7"/>
          <w:sz w:val="24"/>
        </w:rPr>
        <w:t xml:space="preserve"> </w:t>
      </w:r>
      <w:r>
        <w:rPr>
          <w:b/>
          <w:sz w:val="24"/>
        </w:rPr>
        <w:t>гражданско-правовой</w:t>
      </w:r>
      <w:r>
        <w:rPr>
          <w:b/>
          <w:spacing w:val="-7"/>
          <w:sz w:val="24"/>
        </w:rPr>
        <w:t xml:space="preserve"> </w:t>
      </w:r>
      <w:r>
        <w:rPr>
          <w:b/>
          <w:sz w:val="24"/>
        </w:rPr>
        <w:t>ответственности</w:t>
      </w:r>
      <w:r>
        <w:rPr>
          <w:b/>
          <w:spacing w:val="-7"/>
          <w:sz w:val="24"/>
        </w:rPr>
        <w:t xml:space="preserve"> </w:t>
      </w:r>
      <w:r>
        <w:rPr>
          <w:b/>
          <w:sz w:val="24"/>
        </w:rPr>
        <w:t>владельцев транспортных средств</w:t>
      </w:r>
      <w:r>
        <w:rPr>
          <w:sz w:val="24"/>
        </w:rPr>
        <w:t>: Объектом обязательного страхования гражданско-правовой</w:t>
      </w:r>
    </w:p>
    <w:p w14:paraId="233AB007">
      <w:pPr>
        <w:pStyle w:val="4"/>
        <w:ind w:right="1090"/>
        <w:jc w:val="both"/>
      </w:pPr>
      <w:r>
        <w:t>ответственности владельцев</w:t>
      </w:r>
      <w:r>
        <w:rPr>
          <w:spacing w:val="-1"/>
        </w:rPr>
        <w:t xml:space="preserve"> </w:t>
      </w:r>
      <w:r>
        <w:t>транспортных средств</w:t>
      </w:r>
      <w:r>
        <w:rPr>
          <w:spacing w:val="-1"/>
        </w:rPr>
        <w:t xml:space="preserve"> </w:t>
      </w:r>
      <w:r>
        <w:t>(далее -</w:t>
      </w:r>
      <w:r>
        <w:rPr>
          <w:spacing w:val="-1"/>
        </w:rPr>
        <w:t xml:space="preserve"> </w:t>
      </w:r>
      <w:r>
        <w:t>обязательное</w:t>
      </w:r>
      <w:r>
        <w:rPr>
          <w:spacing w:val="-1"/>
        </w:rPr>
        <w:t xml:space="preserve"> </w:t>
      </w:r>
      <w:r>
        <w:t>страхование ответственности</w:t>
      </w:r>
      <w:r>
        <w:rPr>
          <w:spacing w:val="-6"/>
        </w:rPr>
        <w:t xml:space="preserve"> </w:t>
      </w:r>
      <w:r>
        <w:t>владельцев</w:t>
      </w:r>
      <w:r>
        <w:rPr>
          <w:spacing w:val="-8"/>
        </w:rPr>
        <w:t xml:space="preserve"> </w:t>
      </w:r>
      <w:r>
        <w:t>транспортных</w:t>
      </w:r>
      <w:r>
        <w:rPr>
          <w:spacing w:val="-6"/>
        </w:rPr>
        <w:t xml:space="preserve"> </w:t>
      </w:r>
      <w:r>
        <w:t>средств)</w:t>
      </w:r>
      <w:r>
        <w:rPr>
          <w:spacing w:val="-7"/>
        </w:rPr>
        <w:t xml:space="preserve"> </w:t>
      </w:r>
      <w:r>
        <w:t>является</w:t>
      </w:r>
      <w:r>
        <w:rPr>
          <w:spacing w:val="-7"/>
        </w:rPr>
        <w:t xml:space="preserve"> </w:t>
      </w:r>
      <w:r>
        <w:t>имущественный</w:t>
      </w:r>
      <w:r>
        <w:rPr>
          <w:spacing w:val="-7"/>
        </w:rPr>
        <w:t xml:space="preserve"> </w:t>
      </w:r>
      <w:r>
        <w:t>интерес застрахованного лица, связанный с его обязанностью, установленной гражданским</w:t>
      </w:r>
    </w:p>
    <w:p w14:paraId="1D7FCD05">
      <w:pPr>
        <w:pStyle w:val="4"/>
        <w:jc w:val="both"/>
      </w:pPr>
      <w:r>
        <w:t>законодательством Республики Казахстан, возместить вред, причиненный жизни, здоровью и (или)</w:t>
      </w:r>
      <w:r>
        <w:rPr>
          <w:spacing w:val="-4"/>
        </w:rPr>
        <w:t xml:space="preserve"> </w:t>
      </w:r>
      <w:r>
        <w:t>имуществу</w:t>
      </w:r>
      <w:r>
        <w:rPr>
          <w:spacing w:val="-8"/>
        </w:rPr>
        <w:t xml:space="preserve"> </w:t>
      </w:r>
      <w:r>
        <w:t>третьих</w:t>
      </w:r>
      <w:r>
        <w:rPr>
          <w:spacing w:val="-5"/>
        </w:rPr>
        <w:t xml:space="preserve"> </w:t>
      </w:r>
      <w:r>
        <w:t>лиц</w:t>
      </w:r>
      <w:r>
        <w:rPr>
          <w:spacing w:val="-4"/>
        </w:rPr>
        <w:t xml:space="preserve"> </w:t>
      </w:r>
      <w:r>
        <w:t>в</w:t>
      </w:r>
      <w:r>
        <w:rPr>
          <w:spacing w:val="-5"/>
        </w:rPr>
        <w:t xml:space="preserve"> </w:t>
      </w:r>
      <w:r>
        <w:t>результате</w:t>
      </w:r>
      <w:r>
        <w:rPr>
          <w:spacing w:val="-4"/>
        </w:rPr>
        <w:t xml:space="preserve"> </w:t>
      </w:r>
      <w:r>
        <w:t>эксплуатации</w:t>
      </w:r>
      <w:r>
        <w:rPr>
          <w:spacing w:val="-4"/>
        </w:rPr>
        <w:t xml:space="preserve"> </w:t>
      </w:r>
      <w:r>
        <w:t>транспортного</w:t>
      </w:r>
      <w:r>
        <w:rPr>
          <w:spacing w:val="-4"/>
        </w:rPr>
        <w:t xml:space="preserve"> </w:t>
      </w:r>
      <w:r>
        <w:t>средства</w:t>
      </w:r>
      <w:r>
        <w:rPr>
          <w:spacing w:val="-5"/>
        </w:rPr>
        <w:t xml:space="preserve"> </w:t>
      </w:r>
      <w:r>
        <w:t>как</w:t>
      </w:r>
      <w:r>
        <w:rPr>
          <w:spacing w:val="-4"/>
        </w:rPr>
        <w:t xml:space="preserve"> </w:t>
      </w:r>
      <w:r>
        <w:t>источника повышенной опасности.</w:t>
      </w:r>
    </w:p>
    <w:p w14:paraId="4AE8EF70">
      <w:pPr>
        <w:spacing w:before="255"/>
        <w:ind w:left="532"/>
        <w:jc w:val="both"/>
        <w:rPr>
          <w:sz w:val="24"/>
          <w:szCs w:val="24"/>
        </w:rPr>
      </w:pPr>
      <w:r>
        <w:rPr>
          <w:b/>
          <w:sz w:val="24"/>
        </w:rPr>
        <w:t>Страховой</w:t>
      </w:r>
      <w:r>
        <w:rPr>
          <w:b/>
          <w:spacing w:val="-6"/>
          <w:sz w:val="24"/>
        </w:rPr>
        <w:t xml:space="preserve"> </w:t>
      </w:r>
      <w:r>
        <w:rPr>
          <w:b/>
          <w:sz w:val="24"/>
        </w:rPr>
        <w:t>случай</w:t>
      </w:r>
      <w:r>
        <w:rPr>
          <w:b/>
          <w:spacing w:val="-6"/>
          <w:sz w:val="24"/>
        </w:rPr>
        <w:t xml:space="preserve"> </w:t>
      </w:r>
      <w:r>
        <w:rPr>
          <w:b/>
          <w:sz w:val="24"/>
        </w:rPr>
        <w:t>обязательного</w:t>
      </w:r>
      <w:r>
        <w:rPr>
          <w:b/>
          <w:spacing w:val="-6"/>
          <w:sz w:val="24"/>
        </w:rPr>
        <w:t xml:space="preserve"> </w:t>
      </w:r>
      <w:r>
        <w:rPr>
          <w:b/>
          <w:sz w:val="24"/>
          <w:szCs w:val="24"/>
        </w:rPr>
        <w:t>страхования</w:t>
      </w:r>
      <w:r>
        <w:rPr>
          <w:b/>
          <w:spacing w:val="-6"/>
          <w:sz w:val="24"/>
          <w:szCs w:val="24"/>
        </w:rPr>
        <w:t xml:space="preserve"> </w:t>
      </w:r>
      <w:r>
        <w:rPr>
          <w:b/>
          <w:sz w:val="24"/>
          <w:szCs w:val="24"/>
        </w:rPr>
        <w:t>гражданско-правовой</w:t>
      </w:r>
      <w:r>
        <w:rPr>
          <w:b/>
          <w:spacing w:val="-6"/>
          <w:sz w:val="24"/>
          <w:szCs w:val="24"/>
        </w:rPr>
        <w:t xml:space="preserve"> </w:t>
      </w:r>
      <w:r>
        <w:rPr>
          <w:b/>
          <w:sz w:val="24"/>
          <w:szCs w:val="24"/>
        </w:rPr>
        <w:t>ответственности владельцев транспортных средств</w:t>
      </w:r>
      <w:r>
        <w:rPr>
          <w:sz w:val="24"/>
          <w:szCs w:val="24"/>
        </w:rPr>
        <w:t>: Страховым случаем признается факт наступления</w:t>
      </w:r>
    </w:p>
    <w:p w14:paraId="6536857C">
      <w:pPr>
        <w:pStyle w:val="4"/>
        <w:jc w:val="both"/>
      </w:pPr>
      <w:r>
        <w:t>гражданско-правовой</w:t>
      </w:r>
      <w:r>
        <w:rPr>
          <w:spacing w:val="-7"/>
        </w:rPr>
        <w:t xml:space="preserve"> </w:t>
      </w:r>
      <w:r>
        <w:t>ответственности</w:t>
      </w:r>
      <w:r>
        <w:rPr>
          <w:spacing w:val="-6"/>
        </w:rPr>
        <w:t xml:space="preserve"> </w:t>
      </w:r>
      <w:r>
        <w:t>застрахованного</w:t>
      </w:r>
      <w:r>
        <w:rPr>
          <w:spacing w:val="-7"/>
        </w:rPr>
        <w:t xml:space="preserve"> </w:t>
      </w:r>
      <w:r>
        <w:t>по</w:t>
      </w:r>
      <w:r>
        <w:rPr>
          <w:spacing w:val="-7"/>
        </w:rPr>
        <w:t xml:space="preserve"> </w:t>
      </w:r>
      <w:r>
        <w:t>возмещению</w:t>
      </w:r>
      <w:r>
        <w:rPr>
          <w:spacing w:val="-7"/>
        </w:rPr>
        <w:t xml:space="preserve"> </w:t>
      </w:r>
      <w:r>
        <w:t>вреда,</w:t>
      </w:r>
      <w:r>
        <w:rPr>
          <w:spacing w:val="-7"/>
        </w:rPr>
        <w:t xml:space="preserve"> </w:t>
      </w:r>
      <w:r>
        <w:t>причиненного жизни, здоровью и (или) имуществу лиц, признанных потерпевшими, в результате</w:t>
      </w:r>
    </w:p>
    <w:p w14:paraId="77ABD22A">
      <w:pPr>
        <w:pStyle w:val="4"/>
        <w:jc w:val="both"/>
      </w:pPr>
      <w:r>
        <w:t>эксплуатации</w:t>
      </w:r>
      <w:r>
        <w:rPr>
          <w:spacing w:val="-5"/>
        </w:rPr>
        <w:t xml:space="preserve"> </w:t>
      </w:r>
      <w:r>
        <w:t>застрахованным</w:t>
      </w:r>
      <w:r>
        <w:rPr>
          <w:spacing w:val="-7"/>
        </w:rPr>
        <w:t xml:space="preserve"> </w:t>
      </w:r>
      <w:r>
        <w:t>транспортного</w:t>
      </w:r>
      <w:r>
        <w:rPr>
          <w:spacing w:val="-5"/>
        </w:rPr>
        <w:t xml:space="preserve"> </w:t>
      </w:r>
      <w:r>
        <w:t>средства,</w:t>
      </w:r>
      <w:r>
        <w:rPr>
          <w:spacing w:val="-2"/>
        </w:rPr>
        <w:t xml:space="preserve"> </w:t>
      </w:r>
      <w:r>
        <w:t>указанного</w:t>
      </w:r>
      <w:r>
        <w:rPr>
          <w:spacing w:val="-1"/>
        </w:rPr>
        <w:t xml:space="preserve"> </w:t>
      </w:r>
      <w:r>
        <w:t>в</w:t>
      </w:r>
      <w:r>
        <w:rPr>
          <w:spacing w:val="-6"/>
        </w:rPr>
        <w:t xml:space="preserve"> </w:t>
      </w:r>
      <w:r>
        <w:t>договоре</w:t>
      </w:r>
      <w:r>
        <w:rPr>
          <w:spacing w:val="-7"/>
        </w:rPr>
        <w:t xml:space="preserve"> </w:t>
      </w:r>
      <w:r>
        <w:t>обязательного страхования ответственности владельцев транспортных средств.</w:t>
      </w:r>
    </w:p>
    <w:p w14:paraId="15AA9996">
      <w:pPr>
        <w:pStyle w:val="4"/>
        <w:spacing w:before="252"/>
        <w:jc w:val="both"/>
      </w:pPr>
      <w:r>
        <w:t>Размер</w:t>
      </w:r>
      <w:r>
        <w:rPr>
          <w:spacing w:val="-4"/>
        </w:rPr>
        <w:t xml:space="preserve"> </w:t>
      </w:r>
      <w:r>
        <w:t>вреда,</w:t>
      </w:r>
      <w:r>
        <w:rPr>
          <w:spacing w:val="-4"/>
        </w:rPr>
        <w:t xml:space="preserve"> </w:t>
      </w:r>
      <w:r>
        <w:t>причиненного</w:t>
      </w:r>
      <w:r>
        <w:rPr>
          <w:spacing w:val="-4"/>
        </w:rPr>
        <w:t xml:space="preserve"> </w:t>
      </w:r>
      <w:r>
        <w:t>жизни</w:t>
      </w:r>
      <w:r>
        <w:rPr>
          <w:spacing w:val="-6"/>
        </w:rPr>
        <w:t xml:space="preserve"> </w:t>
      </w:r>
      <w:r>
        <w:t>и</w:t>
      </w:r>
      <w:r>
        <w:rPr>
          <w:spacing w:val="-4"/>
        </w:rPr>
        <w:t xml:space="preserve"> </w:t>
      </w:r>
      <w:r>
        <w:t>здоровью</w:t>
      </w:r>
      <w:r>
        <w:rPr>
          <w:spacing w:val="-6"/>
        </w:rPr>
        <w:t xml:space="preserve"> </w:t>
      </w:r>
      <w:r>
        <w:t>потерпевшего,</w:t>
      </w:r>
      <w:r>
        <w:rPr>
          <w:spacing w:val="-4"/>
        </w:rPr>
        <w:t xml:space="preserve"> </w:t>
      </w:r>
      <w:r>
        <w:t>определяется</w:t>
      </w:r>
      <w:r>
        <w:rPr>
          <w:spacing w:val="-4"/>
        </w:rPr>
        <w:t xml:space="preserve"> </w:t>
      </w:r>
      <w:r>
        <w:t>в</w:t>
      </w:r>
      <w:r>
        <w:rPr>
          <w:spacing w:val="-5"/>
        </w:rPr>
        <w:t xml:space="preserve"> </w:t>
      </w:r>
      <w:r>
        <w:t>соответствии</w:t>
      </w:r>
      <w:r>
        <w:rPr>
          <w:spacing w:val="-4"/>
        </w:rPr>
        <w:t xml:space="preserve"> </w:t>
      </w:r>
      <w:r>
        <w:t>с настоящим Законом Об обязательном страховании гражданско-правовой ответственности</w:t>
      </w:r>
    </w:p>
    <w:p w14:paraId="4CD2BA93">
      <w:pPr>
        <w:pStyle w:val="4"/>
        <w:jc w:val="both"/>
      </w:pPr>
      <w:r>
        <w:t>владельцев</w:t>
      </w:r>
      <w:r>
        <w:rPr>
          <w:spacing w:val="-5"/>
        </w:rPr>
        <w:t xml:space="preserve"> </w:t>
      </w:r>
      <w:r>
        <w:t>транспортных</w:t>
      </w:r>
      <w:r>
        <w:rPr>
          <w:spacing w:val="-2"/>
        </w:rPr>
        <w:t xml:space="preserve"> средств.</w:t>
      </w:r>
    </w:p>
    <w:p w14:paraId="4B4C8440">
      <w:pPr>
        <w:spacing w:before="1"/>
        <w:ind w:left="532"/>
        <w:jc w:val="both"/>
        <w:rPr>
          <w:sz w:val="24"/>
          <w:szCs w:val="24"/>
        </w:rPr>
      </w:pPr>
      <w:r>
        <w:rPr>
          <w:sz w:val="24"/>
          <w:szCs w:val="24"/>
        </w:rPr>
        <w:t>Период</w:t>
      </w:r>
      <w:r>
        <w:rPr>
          <w:spacing w:val="-9"/>
          <w:sz w:val="24"/>
          <w:szCs w:val="24"/>
        </w:rPr>
        <w:t xml:space="preserve"> </w:t>
      </w:r>
      <w:r>
        <w:rPr>
          <w:sz w:val="24"/>
          <w:szCs w:val="24"/>
        </w:rPr>
        <w:t>страхования:</w:t>
      </w:r>
      <w:r>
        <w:rPr>
          <w:spacing w:val="-7"/>
          <w:sz w:val="24"/>
          <w:szCs w:val="24"/>
        </w:rPr>
        <w:t xml:space="preserve"> </w:t>
      </w:r>
      <w:r>
        <w:rPr>
          <w:sz w:val="24"/>
          <w:szCs w:val="24"/>
        </w:rPr>
        <w:t>12</w:t>
      </w:r>
      <w:r>
        <w:rPr>
          <w:spacing w:val="-4"/>
          <w:sz w:val="24"/>
          <w:szCs w:val="24"/>
        </w:rPr>
        <w:t xml:space="preserve"> </w:t>
      </w:r>
      <w:r>
        <w:rPr>
          <w:spacing w:val="-2"/>
          <w:sz w:val="24"/>
          <w:szCs w:val="24"/>
        </w:rPr>
        <w:t>месяцев</w:t>
      </w:r>
    </w:p>
    <w:p w14:paraId="4FCC307B">
      <w:pPr>
        <w:pStyle w:val="5"/>
        <w:spacing w:line="322" w:lineRule="exact"/>
        <w:jc w:val="both"/>
        <w:rPr>
          <w:b w:val="0"/>
          <w:sz w:val="24"/>
          <w:szCs w:val="24"/>
        </w:rPr>
      </w:pPr>
      <w:r>
        <w:rPr>
          <w:b w:val="0"/>
          <w:sz w:val="24"/>
          <w:szCs w:val="24"/>
        </w:rPr>
        <w:t>Срок</w:t>
      </w:r>
      <w:r>
        <w:rPr>
          <w:b w:val="0"/>
          <w:spacing w:val="-8"/>
          <w:sz w:val="24"/>
          <w:szCs w:val="24"/>
        </w:rPr>
        <w:t xml:space="preserve"> </w:t>
      </w:r>
      <w:r>
        <w:rPr>
          <w:b w:val="0"/>
          <w:sz w:val="24"/>
          <w:szCs w:val="24"/>
        </w:rPr>
        <w:t>поставки/оказания</w:t>
      </w:r>
      <w:r>
        <w:rPr>
          <w:b w:val="0"/>
          <w:spacing w:val="-9"/>
          <w:sz w:val="24"/>
          <w:szCs w:val="24"/>
        </w:rPr>
        <w:t xml:space="preserve"> </w:t>
      </w:r>
      <w:r>
        <w:rPr>
          <w:b w:val="0"/>
          <w:sz w:val="24"/>
          <w:szCs w:val="24"/>
        </w:rPr>
        <w:t xml:space="preserve">услуг: </w:t>
      </w:r>
      <w:bookmarkStart w:id="0" w:name="_Hlk187410942"/>
      <w:bookmarkStart w:id="1" w:name="_Hlk178927740"/>
      <w:r>
        <w:rPr>
          <w:b w:val="0"/>
          <w:sz w:val="24"/>
          <w:szCs w:val="24"/>
        </w:rPr>
        <w:t>по заявке заказчика</w:t>
      </w:r>
      <w:bookmarkEnd w:id="0"/>
    </w:p>
    <w:bookmarkEnd w:id="1"/>
    <w:p w14:paraId="5FA1B3BC">
      <w:pPr>
        <w:pStyle w:val="5"/>
        <w:jc w:val="both"/>
        <w:rPr>
          <w:b w:val="0"/>
          <w:spacing w:val="-8"/>
          <w:sz w:val="24"/>
          <w:szCs w:val="24"/>
        </w:rPr>
      </w:pPr>
      <w:r>
        <w:rPr>
          <w:b w:val="0"/>
          <w:sz w:val="24"/>
          <w:szCs w:val="24"/>
        </w:rPr>
        <w:t>Меcто</w:t>
      </w:r>
      <w:r>
        <w:rPr>
          <w:b w:val="0"/>
          <w:spacing w:val="-12"/>
          <w:sz w:val="24"/>
          <w:szCs w:val="24"/>
        </w:rPr>
        <w:t xml:space="preserve"> </w:t>
      </w:r>
      <w:r>
        <w:rPr>
          <w:b w:val="0"/>
          <w:sz w:val="24"/>
          <w:szCs w:val="24"/>
        </w:rPr>
        <w:t>поставки/оказания</w:t>
      </w:r>
      <w:r>
        <w:rPr>
          <w:b w:val="0"/>
          <w:spacing w:val="-12"/>
          <w:sz w:val="24"/>
          <w:szCs w:val="24"/>
        </w:rPr>
        <w:t xml:space="preserve"> </w:t>
      </w:r>
      <w:r>
        <w:rPr>
          <w:b w:val="0"/>
          <w:sz w:val="24"/>
          <w:szCs w:val="24"/>
        </w:rPr>
        <w:t>услуг:</w:t>
      </w:r>
      <w:r>
        <w:rPr>
          <w:b w:val="0"/>
          <w:spacing w:val="-8"/>
          <w:sz w:val="24"/>
          <w:szCs w:val="24"/>
        </w:rPr>
        <w:t xml:space="preserve"> г. Щучинск</w:t>
      </w:r>
    </w:p>
    <w:p w14:paraId="70650C6A">
      <w:pPr>
        <w:pStyle w:val="5"/>
        <w:jc w:val="both"/>
        <w:rPr>
          <w:sz w:val="24"/>
          <w:szCs w:val="24"/>
        </w:rPr>
      </w:pPr>
    </w:p>
    <w:p w14:paraId="597909D6">
      <w:pPr>
        <w:pStyle w:val="4"/>
        <w:ind w:left="0"/>
        <w:rPr>
          <w:b/>
        </w:rPr>
      </w:pPr>
    </w:p>
    <w:p w14:paraId="137B4F14">
      <w:pPr>
        <w:pStyle w:val="4"/>
        <w:spacing w:before="70"/>
        <w:ind w:left="0"/>
        <w:rPr>
          <w:b/>
        </w:rPr>
      </w:pPr>
    </w:p>
    <w:tbl>
      <w:tblPr>
        <w:tblStyle w:val="3"/>
        <w:tblW w:w="9640" w:type="dxa"/>
        <w:tblInd w:w="0" w:type="dxa"/>
        <w:tblLayout w:type="autofit"/>
        <w:tblCellMar>
          <w:top w:w="0" w:type="dxa"/>
          <w:left w:w="108" w:type="dxa"/>
          <w:bottom w:w="0" w:type="dxa"/>
          <w:right w:w="108" w:type="dxa"/>
        </w:tblCellMar>
      </w:tblPr>
      <w:tblGrid>
        <w:gridCol w:w="960"/>
        <w:gridCol w:w="5320"/>
        <w:gridCol w:w="3360"/>
      </w:tblGrid>
      <w:tr w14:paraId="7D8DA200">
        <w:tblPrEx>
          <w:tblCellMar>
            <w:top w:w="0" w:type="dxa"/>
            <w:left w:w="108" w:type="dxa"/>
            <w:bottom w:w="0" w:type="dxa"/>
            <w:right w:w="108" w:type="dxa"/>
          </w:tblCellMar>
        </w:tblPrEx>
        <w:trPr>
          <w:trHeight w:val="315" w:hRule="atLeast"/>
        </w:trPr>
        <w:tc>
          <w:tcPr>
            <w:tcW w:w="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3F317F8">
            <w:pPr>
              <w:widowControl/>
              <w:autoSpaceDE/>
              <w:autoSpaceDN/>
              <w:jc w:val="center"/>
              <w:rPr>
                <w:b/>
                <w:bCs/>
                <w:color w:val="000000"/>
                <w:sz w:val="24"/>
                <w:szCs w:val="24"/>
                <w:lang w:eastAsia="ru-RU"/>
              </w:rPr>
            </w:pPr>
            <w:bookmarkStart w:id="2" w:name="RANGE!A1"/>
            <w:r>
              <w:rPr>
                <w:b/>
                <w:bCs/>
                <w:color w:val="000000"/>
                <w:sz w:val="24"/>
                <w:szCs w:val="24"/>
                <w:lang w:eastAsia="ru-RU"/>
              </w:rPr>
              <w:t>№</w:t>
            </w:r>
            <w:bookmarkEnd w:id="2"/>
          </w:p>
        </w:tc>
        <w:tc>
          <w:tcPr>
            <w:tcW w:w="5320" w:type="dxa"/>
            <w:tcBorders>
              <w:top w:val="single" w:color="auto" w:sz="4" w:space="0"/>
              <w:left w:val="nil"/>
              <w:bottom w:val="single" w:color="auto" w:sz="4" w:space="0"/>
              <w:right w:val="single" w:color="auto" w:sz="4" w:space="0"/>
            </w:tcBorders>
            <w:shd w:val="clear" w:color="auto" w:fill="auto"/>
            <w:noWrap/>
            <w:vAlign w:val="center"/>
          </w:tcPr>
          <w:p w14:paraId="3FEB5245">
            <w:pPr>
              <w:widowControl/>
              <w:autoSpaceDE/>
              <w:autoSpaceDN/>
              <w:jc w:val="center"/>
              <w:rPr>
                <w:b/>
                <w:bCs/>
                <w:color w:val="000000"/>
                <w:sz w:val="24"/>
                <w:szCs w:val="24"/>
                <w:lang w:eastAsia="ru-RU"/>
              </w:rPr>
            </w:pPr>
            <w:r>
              <w:rPr>
                <w:b/>
                <w:bCs/>
                <w:color w:val="000000"/>
                <w:sz w:val="24"/>
                <w:szCs w:val="24"/>
                <w:lang w:eastAsia="ru-RU"/>
              </w:rPr>
              <w:t>Марка, модель транспортного средства</w:t>
            </w:r>
          </w:p>
        </w:tc>
        <w:tc>
          <w:tcPr>
            <w:tcW w:w="3360" w:type="dxa"/>
            <w:tcBorders>
              <w:top w:val="single" w:color="auto" w:sz="4" w:space="0"/>
              <w:left w:val="nil"/>
              <w:bottom w:val="single" w:color="auto" w:sz="4" w:space="0"/>
              <w:right w:val="single" w:color="auto" w:sz="4" w:space="0"/>
            </w:tcBorders>
            <w:shd w:val="clear" w:color="auto" w:fill="auto"/>
            <w:noWrap/>
            <w:vAlign w:val="center"/>
          </w:tcPr>
          <w:p w14:paraId="41BFFE5A">
            <w:pPr>
              <w:widowControl/>
              <w:autoSpaceDE/>
              <w:autoSpaceDN/>
              <w:jc w:val="center"/>
              <w:rPr>
                <w:b/>
                <w:bCs/>
                <w:color w:val="000000"/>
                <w:sz w:val="24"/>
                <w:szCs w:val="24"/>
                <w:lang w:eastAsia="ru-RU"/>
              </w:rPr>
            </w:pPr>
            <w:r>
              <w:rPr>
                <w:b/>
                <w:bCs/>
                <w:color w:val="000000"/>
                <w:sz w:val="24"/>
                <w:szCs w:val="24"/>
                <w:lang w:eastAsia="ru-RU"/>
              </w:rPr>
              <w:t>Регион регистрации</w:t>
            </w:r>
          </w:p>
        </w:tc>
      </w:tr>
      <w:tr w14:paraId="1AB00D60">
        <w:tblPrEx>
          <w:tblCellMar>
            <w:top w:w="0" w:type="dxa"/>
            <w:left w:w="108" w:type="dxa"/>
            <w:bottom w:w="0" w:type="dxa"/>
            <w:right w:w="108" w:type="dxa"/>
          </w:tblCellMar>
        </w:tblPrEx>
        <w:trPr>
          <w:trHeight w:val="315"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14:paraId="3D8CDC00">
            <w:pPr>
              <w:widowControl/>
              <w:autoSpaceDE/>
              <w:autoSpaceDN/>
              <w:jc w:val="center"/>
              <w:rPr>
                <w:color w:val="000000"/>
                <w:sz w:val="24"/>
                <w:szCs w:val="24"/>
                <w:lang w:eastAsia="ru-RU"/>
              </w:rPr>
            </w:pPr>
            <w:r>
              <w:rPr>
                <w:color w:val="000000"/>
                <w:sz w:val="24"/>
                <w:szCs w:val="24"/>
                <w:lang w:eastAsia="ru-RU"/>
              </w:rPr>
              <w:t>1</w:t>
            </w:r>
          </w:p>
        </w:tc>
        <w:tc>
          <w:tcPr>
            <w:tcW w:w="5320" w:type="dxa"/>
            <w:tcBorders>
              <w:top w:val="nil"/>
              <w:left w:val="nil"/>
              <w:bottom w:val="single" w:color="auto" w:sz="4" w:space="0"/>
              <w:right w:val="single" w:color="auto" w:sz="4" w:space="0"/>
            </w:tcBorders>
            <w:shd w:val="clear" w:color="auto" w:fill="auto"/>
            <w:noWrap/>
            <w:vAlign w:val="bottom"/>
          </w:tcPr>
          <w:p w14:paraId="5FE0CB88">
            <w:pPr>
              <w:widowControl/>
              <w:autoSpaceDE/>
              <w:autoSpaceDN/>
              <w:rPr>
                <w:rFonts w:hint="default"/>
                <w:color w:val="000000"/>
                <w:lang w:val="en-US" w:eastAsia="ru-RU"/>
              </w:rPr>
            </w:pPr>
            <w:r>
              <w:rPr>
                <w:rFonts w:hint="default"/>
                <w:color w:val="000000"/>
                <w:lang w:val="en-US" w:eastAsia="ru-RU"/>
              </w:rPr>
              <w:t>LADA-21214</w:t>
            </w:r>
          </w:p>
        </w:tc>
        <w:tc>
          <w:tcPr>
            <w:tcW w:w="3360" w:type="dxa"/>
            <w:tcBorders>
              <w:top w:val="nil"/>
              <w:left w:val="nil"/>
              <w:bottom w:val="single" w:color="auto" w:sz="4" w:space="0"/>
              <w:right w:val="single" w:color="auto" w:sz="4" w:space="0"/>
            </w:tcBorders>
            <w:shd w:val="clear" w:color="auto" w:fill="auto"/>
            <w:noWrap/>
            <w:vAlign w:val="center"/>
          </w:tcPr>
          <w:p w14:paraId="4DED10F3">
            <w:pPr>
              <w:widowControl/>
              <w:autoSpaceDE/>
              <w:autoSpaceDN/>
              <w:rPr>
                <w:color w:val="000000"/>
                <w:sz w:val="24"/>
                <w:szCs w:val="24"/>
                <w:lang w:eastAsia="ru-RU"/>
              </w:rPr>
            </w:pPr>
            <w:r>
              <w:rPr>
                <w:color w:val="000000"/>
                <w:sz w:val="24"/>
                <w:szCs w:val="24"/>
                <w:lang w:eastAsia="ru-RU"/>
              </w:rPr>
              <w:t>Акмолинская обл.</w:t>
            </w:r>
          </w:p>
        </w:tc>
      </w:tr>
      <w:tr w14:paraId="5063F5DA">
        <w:tblPrEx>
          <w:tblCellMar>
            <w:top w:w="0" w:type="dxa"/>
            <w:left w:w="108" w:type="dxa"/>
            <w:bottom w:w="0" w:type="dxa"/>
            <w:right w:w="108" w:type="dxa"/>
          </w:tblCellMar>
        </w:tblPrEx>
        <w:trPr>
          <w:trHeight w:val="315"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14:paraId="6EFDE035">
            <w:pPr>
              <w:widowControl/>
              <w:autoSpaceDE/>
              <w:autoSpaceDN/>
              <w:jc w:val="center"/>
              <w:rPr>
                <w:color w:val="000000"/>
                <w:sz w:val="24"/>
                <w:szCs w:val="24"/>
                <w:lang w:eastAsia="ru-RU"/>
              </w:rPr>
            </w:pPr>
            <w:r>
              <w:rPr>
                <w:color w:val="000000"/>
                <w:sz w:val="24"/>
                <w:szCs w:val="24"/>
                <w:lang w:eastAsia="ru-RU"/>
              </w:rPr>
              <w:t>2</w:t>
            </w:r>
          </w:p>
        </w:tc>
        <w:tc>
          <w:tcPr>
            <w:tcW w:w="5320" w:type="dxa"/>
            <w:tcBorders>
              <w:top w:val="nil"/>
              <w:left w:val="nil"/>
              <w:bottom w:val="single" w:color="auto" w:sz="4" w:space="0"/>
              <w:right w:val="single" w:color="auto" w:sz="4" w:space="0"/>
            </w:tcBorders>
            <w:shd w:val="clear" w:color="auto" w:fill="auto"/>
            <w:noWrap/>
            <w:vAlign w:val="bottom"/>
          </w:tcPr>
          <w:p w14:paraId="1C8F4445">
            <w:pPr>
              <w:widowControl/>
              <w:autoSpaceDE/>
              <w:autoSpaceDN/>
              <w:rPr>
                <w:rFonts w:hint="default"/>
                <w:color w:val="000000"/>
                <w:lang w:val="en-US" w:eastAsia="ru-RU"/>
              </w:rPr>
            </w:pPr>
            <w:r>
              <w:rPr>
                <w:rFonts w:hint="default"/>
                <w:color w:val="000000"/>
                <w:lang w:val="ru-RU" w:eastAsia="ru-RU"/>
              </w:rPr>
              <w:t>ВАЗ</w:t>
            </w:r>
            <w:r>
              <w:rPr>
                <w:rFonts w:hint="default"/>
                <w:color w:val="000000"/>
                <w:lang w:val="en-US" w:eastAsia="ru-RU"/>
              </w:rPr>
              <w:t xml:space="preserve"> 232900-014-41</w:t>
            </w:r>
          </w:p>
        </w:tc>
        <w:tc>
          <w:tcPr>
            <w:tcW w:w="3360" w:type="dxa"/>
            <w:tcBorders>
              <w:top w:val="nil"/>
              <w:left w:val="nil"/>
              <w:bottom w:val="single" w:color="auto" w:sz="4" w:space="0"/>
              <w:right w:val="single" w:color="auto" w:sz="4" w:space="0"/>
            </w:tcBorders>
            <w:shd w:val="clear" w:color="auto" w:fill="auto"/>
            <w:noWrap/>
            <w:vAlign w:val="center"/>
          </w:tcPr>
          <w:p w14:paraId="3F3ADE03">
            <w:pPr>
              <w:widowControl/>
              <w:autoSpaceDE/>
              <w:autoSpaceDN/>
              <w:rPr>
                <w:color w:val="000000"/>
                <w:sz w:val="24"/>
                <w:szCs w:val="24"/>
                <w:lang w:eastAsia="ru-RU"/>
              </w:rPr>
            </w:pPr>
            <w:r>
              <w:rPr>
                <w:color w:val="000000"/>
                <w:sz w:val="24"/>
                <w:szCs w:val="24"/>
                <w:lang w:eastAsia="ru-RU"/>
              </w:rPr>
              <w:t>Акмолинская обл.</w:t>
            </w:r>
          </w:p>
        </w:tc>
      </w:tr>
      <w:tr w14:paraId="1FEC3478">
        <w:tblPrEx>
          <w:tblCellMar>
            <w:top w:w="0" w:type="dxa"/>
            <w:left w:w="108" w:type="dxa"/>
            <w:bottom w:w="0" w:type="dxa"/>
            <w:right w:w="108" w:type="dxa"/>
          </w:tblCellMar>
        </w:tblPrEx>
        <w:trPr>
          <w:trHeight w:val="352"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14:paraId="25DB8117">
            <w:pPr>
              <w:widowControl/>
              <w:autoSpaceDE/>
              <w:autoSpaceDN/>
              <w:jc w:val="center"/>
              <w:rPr>
                <w:color w:val="000000"/>
                <w:sz w:val="24"/>
                <w:szCs w:val="24"/>
                <w:lang w:eastAsia="ru-RU"/>
              </w:rPr>
            </w:pPr>
            <w:r>
              <w:rPr>
                <w:color w:val="000000"/>
                <w:sz w:val="24"/>
                <w:szCs w:val="24"/>
                <w:lang w:eastAsia="ru-RU"/>
              </w:rPr>
              <w:t>3</w:t>
            </w:r>
          </w:p>
        </w:tc>
        <w:tc>
          <w:tcPr>
            <w:tcW w:w="5320" w:type="dxa"/>
            <w:tcBorders>
              <w:top w:val="nil"/>
              <w:left w:val="nil"/>
              <w:bottom w:val="single" w:color="auto" w:sz="4" w:space="0"/>
              <w:right w:val="single" w:color="auto" w:sz="4" w:space="0"/>
            </w:tcBorders>
            <w:shd w:val="clear" w:color="auto" w:fill="auto"/>
            <w:noWrap/>
            <w:vAlign w:val="bottom"/>
          </w:tcPr>
          <w:p w14:paraId="70F42179">
            <w:pPr>
              <w:widowControl/>
              <w:autoSpaceDE/>
              <w:autoSpaceDN/>
              <w:rPr>
                <w:rFonts w:hint="default"/>
                <w:color w:val="000000"/>
                <w:lang w:val="en-US" w:eastAsia="ru-RU"/>
              </w:rPr>
            </w:pPr>
            <w:r>
              <w:rPr>
                <w:color w:val="000000"/>
                <w:lang w:eastAsia="ru-RU"/>
              </w:rPr>
              <w:t>УАЗ</w:t>
            </w:r>
            <w:r>
              <w:rPr>
                <w:rFonts w:hint="default"/>
                <w:color w:val="000000"/>
                <w:lang w:val="en-US" w:eastAsia="ru-RU"/>
              </w:rPr>
              <w:t>-390945-520</w:t>
            </w:r>
          </w:p>
        </w:tc>
        <w:tc>
          <w:tcPr>
            <w:tcW w:w="3360" w:type="dxa"/>
            <w:tcBorders>
              <w:top w:val="nil"/>
              <w:left w:val="nil"/>
              <w:bottom w:val="single" w:color="auto" w:sz="4" w:space="0"/>
              <w:right w:val="single" w:color="auto" w:sz="4" w:space="0"/>
            </w:tcBorders>
            <w:shd w:val="clear" w:color="auto" w:fill="auto"/>
            <w:noWrap/>
            <w:vAlign w:val="center"/>
          </w:tcPr>
          <w:p w14:paraId="60B52228">
            <w:pPr>
              <w:widowControl/>
              <w:autoSpaceDE/>
              <w:autoSpaceDN/>
              <w:rPr>
                <w:color w:val="000000"/>
                <w:sz w:val="24"/>
                <w:szCs w:val="24"/>
                <w:lang w:eastAsia="ru-RU"/>
              </w:rPr>
            </w:pPr>
            <w:r>
              <w:rPr>
                <w:color w:val="000000"/>
                <w:sz w:val="24"/>
                <w:szCs w:val="24"/>
                <w:lang w:eastAsia="ru-RU"/>
              </w:rPr>
              <w:t>Акмолинская обл.</w:t>
            </w:r>
          </w:p>
        </w:tc>
      </w:tr>
    </w:tbl>
    <w:p w14:paraId="2D11D9DD">
      <w:pPr>
        <w:rPr>
          <w:sz w:val="24"/>
          <w:szCs w:val="24"/>
        </w:rPr>
      </w:pPr>
    </w:p>
    <w:p w14:paraId="20DFC40F">
      <w:pPr>
        <w:rPr>
          <w:sz w:val="24"/>
          <w:szCs w:val="24"/>
        </w:rPr>
      </w:pPr>
    </w:p>
    <w:p w14:paraId="437145F2">
      <w:pPr>
        <w:rPr>
          <w:sz w:val="24"/>
          <w:szCs w:val="24"/>
        </w:rPr>
      </w:pPr>
    </w:p>
    <w:p w14:paraId="6B952E3A">
      <w:pPr>
        <w:rPr>
          <w:sz w:val="24"/>
          <w:szCs w:val="24"/>
        </w:rPr>
      </w:pPr>
    </w:p>
    <w:p w14:paraId="551B54B0">
      <w:pPr>
        <w:rPr>
          <w:sz w:val="24"/>
          <w:szCs w:val="24"/>
        </w:rPr>
      </w:pPr>
    </w:p>
    <w:p w14:paraId="148CDA41">
      <w:pPr>
        <w:rPr>
          <w:sz w:val="24"/>
          <w:szCs w:val="24"/>
        </w:rPr>
      </w:pPr>
    </w:p>
    <w:p w14:paraId="48793B5F">
      <w:pPr>
        <w:rPr>
          <w:sz w:val="24"/>
          <w:szCs w:val="24"/>
        </w:rPr>
      </w:pPr>
    </w:p>
    <w:p w14:paraId="67AB6B94">
      <w:pPr>
        <w:rPr>
          <w:sz w:val="24"/>
          <w:szCs w:val="24"/>
        </w:rPr>
      </w:pPr>
    </w:p>
    <w:p w14:paraId="7A256E14">
      <w:pPr>
        <w:rPr>
          <w:sz w:val="24"/>
          <w:szCs w:val="24"/>
        </w:rPr>
      </w:pPr>
    </w:p>
    <w:p w14:paraId="75ADF540">
      <w:pPr>
        <w:rPr>
          <w:sz w:val="24"/>
          <w:szCs w:val="24"/>
        </w:rPr>
      </w:pPr>
    </w:p>
    <w:p w14:paraId="6836CE49">
      <w:pPr>
        <w:rPr>
          <w:sz w:val="24"/>
          <w:szCs w:val="24"/>
        </w:rPr>
      </w:pPr>
    </w:p>
    <w:p w14:paraId="7A1FE9D1">
      <w:pPr>
        <w:rPr>
          <w:sz w:val="24"/>
          <w:szCs w:val="24"/>
        </w:rPr>
      </w:pPr>
    </w:p>
    <w:p w14:paraId="5613C3F6">
      <w:pPr>
        <w:rPr>
          <w:sz w:val="24"/>
          <w:szCs w:val="24"/>
        </w:rPr>
      </w:pPr>
    </w:p>
    <w:p w14:paraId="57C39ACD">
      <w:pPr>
        <w:rPr>
          <w:sz w:val="24"/>
          <w:szCs w:val="24"/>
        </w:rPr>
      </w:pPr>
    </w:p>
    <w:p w14:paraId="28FE6150">
      <w:pPr>
        <w:rPr>
          <w:sz w:val="24"/>
          <w:szCs w:val="24"/>
        </w:rPr>
      </w:pPr>
    </w:p>
    <w:p w14:paraId="013306F1">
      <w:pPr>
        <w:rPr>
          <w:sz w:val="24"/>
          <w:szCs w:val="24"/>
        </w:rPr>
      </w:pPr>
    </w:p>
    <w:p w14:paraId="4E149D54">
      <w:pPr>
        <w:rPr>
          <w:sz w:val="24"/>
          <w:szCs w:val="24"/>
        </w:rPr>
      </w:pPr>
    </w:p>
    <w:p w14:paraId="26D2DAC4">
      <w:pPr>
        <w:rPr>
          <w:sz w:val="24"/>
          <w:szCs w:val="24"/>
        </w:rPr>
      </w:pPr>
    </w:p>
    <w:p w14:paraId="19BED3BC">
      <w:pPr>
        <w:rPr>
          <w:sz w:val="24"/>
          <w:szCs w:val="24"/>
        </w:rPr>
      </w:pPr>
    </w:p>
    <w:p w14:paraId="0ECF5615">
      <w:pPr>
        <w:rPr>
          <w:sz w:val="24"/>
          <w:szCs w:val="24"/>
        </w:rPr>
      </w:pPr>
    </w:p>
    <w:p w14:paraId="7327525F">
      <w:pPr>
        <w:rPr>
          <w:sz w:val="24"/>
          <w:szCs w:val="24"/>
        </w:rPr>
        <w:sectPr>
          <w:type w:val="continuous"/>
          <w:pgSz w:w="11910" w:h="16840"/>
          <w:pgMar w:top="1380" w:right="820" w:bottom="280" w:left="600" w:header="720" w:footer="720" w:gutter="0"/>
          <w:cols w:space="720" w:num="1"/>
        </w:sectPr>
      </w:pPr>
    </w:p>
    <w:p w14:paraId="638A9432">
      <w:pPr>
        <w:rPr>
          <w:sz w:val="24"/>
          <w:szCs w:val="24"/>
        </w:rPr>
      </w:pPr>
    </w:p>
    <w:p w14:paraId="7E14AA68">
      <w:pPr>
        <w:spacing w:before="73"/>
        <w:ind w:left="335" w:right="420"/>
        <w:jc w:val="center"/>
        <w:rPr>
          <w:b/>
          <w:sz w:val="24"/>
          <w:szCs w:val="24"/>
        </w:rPr>
      </w:pPr>
      <w:bookmarkStart w:id="3" w:name="_Hlk162956387"/>
      <w:r>
        <w:rPr>
          <w:b/>
          <w:sz w:val="24"/>
          <w:szCs w:val="24"/>
        </w:rPr>
        <w:t>ТЕХНИКАЛЫҚ</w:t>
      </w:r>
      <w:r>
        <w:rPr>
          <w:b/>
          <w:spacing w:val="58"/>
          <w:sz w:val="24"/>
          <w:szCs w:val="24"/>
        </w:rPr>
        <w:t xml:space="preserve"> </w:t>
      </w:r>
      <w:r>
        <w:rPr>
          <w:b/>
          <w:spacing w:val="-2"/>
          <w:sz w:val="24"/>
          <w:szCs w:val="24"/>
        </w:rPr>
        <w:t>СИПАТТАМАСЫ</w:t>
      </w:r>
    </w:p>
    <w:bookmarkEnd w:id="3"/>
    <w:p w14:paraId="79DA647E">
      <w:pPr>
        <w:spacing w:before="243" w:line="276" w:lineRule="auto"/>
        <w:ind w:left="330" w:right="420"/>
        <w:jc w:val="center"/>
        <w:rPr>
          <w:b/>
          <w:sz w:val="24"/>
          <w:szCs w:val="24"/>
        </w:rPr>
      </w:pPr>
      <w:r>
        <w:rPr>
          <w:b/>
          <w:sz w:val="24"/>
          <w:szCs w:val="24"/>
        </w:rPr>
        <w:t>Көлік</w:t>
      </w:r>
      <w:r>
        <w:rPr>
          <w:b/>
          <w:spacing w:val="-7"/>
          <w:sz w:val="24"/>
          <w:szCs w:val="24"/>
        </w:rPr>
        <w:t xml:space="preserve"> </w:t>
      </w:r>
      <w:r>
        <w:rPr>
          <w:b/>
          <w:sz w:val="24"/>
          <w:szCs w:val="24"/>
        </w:rPr>
        <w:t>құралдары</w:t>
      </w:r>
      <w:r>
        <w:rPr>
          <w:b/>
          <w:spacing w:val="-9"/>
          <w:sz w:val="24"/>
          <w:szCs w:val="24"/>
        </w:rPr>
        <w:t xml:space="preserve"> </w:t>
      </w:r>
      <w:r>
        <w:rPr>
          <w:b/>
          <w:sz w:val="24"/>
          <w:szCs w:val="24"/>
        </w:rPr>
        <w:t>иелерінің</w:t>
      </w:r>
      <w:r>
        <w:rPr>
          <w:b/>
          <w:spacing w:val="-7"/>
          <w:sz w:val="24"/>
          <w:szCs w:val="24"/>
        </w:rPr>
        <w:t xml:space="preserve"> </w:t>
      </w:r>
      <w:r>
        <w:rPr>
          <w:b/>
          <w:sz w:val="24"/>
          <w:szCs w:val="24"/>
        </w:rPr>
        <w:t>азаматтық-құқықтық</w:t>
      </w:r>
      <w:r>
        <w:rPr>
          <w:b/>
          <w:spacing w:val="-6"/>
          <w:sz w:val="24"/>
          <w:szCs w:val="24"/>
        </w:rPr>
        <w:t xml:space="preserve"> </w:t>
      </w:r>
      <w:r>
        <w:rPr>
          <w:b/>
          <w:sz w:val="24"/>
          <w:szCs w:val="24"/>
        </w:rPr>
        <w:t>жауапкершілігін</w:t>
      </w:r>
      <w:r>
        <w:rPr>
          <w:b/>
          <w:spacing w:val="-7"/>
          <w:sz w:val="24"/>
          <w:szCs w:val="24"/>
        </w:rPr>
        <w:t xml:space="preserve"> </w:t>
      </w:r>
      <w:r>
        <w:rPr>
          <w:b/>
          <w:sz w:val="24"/>
          <w:szCs w:val="24"/>
        </w:rPr>
        <w:t xml:space="preserve">міндетті </w:t>
      </w:r>
      <w:r>
        <w:rPr>
          <w:b/>
          <w:spacing w:val="-2"/>
          <w:sz w:val="24"/>
          <w:szCs w:val="24"/>
        </w:rPr>
        <w:t>сақтандыру</w:t>
      </w:r>
    </w:p>
    <w:p w14:paraId="4A4E3AC5">
      <w:pPr>
        <w:rPr>
          <w:sz w:val="24"/>
          <w:szCs w:val="24"/>
        </w:rPr>
      </w:pPr>
    </w:p>
    <w:p w14:paraId="3631814B">
      <w:pPr>
        <w:spacing w:before="201" w:line="276" w:lineRule="auto"/>
        <w:ind w:left="422" w:right="505"/>
        <w:jc w:val="both"/>
        <w:rPr>
          <w:sz w:val="24"/>
          <w:szCs w:val="24"/>
        </w:rPr>
      </w:pPr>
      <w:r>
        <w:rPr>
          <w:b/>
          <w:sz w:val="24"/>
          <w:szCs w:val="24"/>
        </w:rPr>
        <w:t>Көлік құралдары иелерінің азаматтық-құқықтық жауапкершілігін міндетті сақтандыру объектісі</w:t>
      </w:r>
      <w:r>
        <w:rPr>
          <w:sz w:val="24"/>
          <w:szCs w:val="24"/>
        </w:rPr>
        <w:t>: Көлiк құралдары иелерiнiң азаматтық-құқықтық жауапкершiлiгiн мiндеттi сақтандыру объектiсi (бұдан әрi - көлiк құралдары иелерiнiң жауапкершiлiгiн мiндеттi сақтандыру) сақтандырылған адамның Қазақстан Республикасының азаматтық заңнамасында белгiленген оның келтiрiлген зиянды өтеу мiндеттемесiне байланысты мүлiктiк мүддесi болып табылады. үшінші тұлғалардың өміріне, денсаулығына және (немесе) мүлкіне көлік құралын пайдалану нәтижесінде жоғары қауіп көзі ретінде.</w:t>
      </w:r>
    </w:p>
    <w:p w14:paraId="2439D90A">
      <w:pPr>
        <w:spacing w:before="200" w:line="276" w:lineRule="auto"/>
        <w:ind w:left="422" w:right="507"/>
        <w:jc w:val="both"/>
        <w:rPr>
          <w:sz w:val="24"/>
          <w:szCs w:val="24"/>
        </w:rPr>
      </w:pPr>
      <w:r>
        <w:rPr>
          <w:b/>
          <w:sz w:val="24"/>
          <w:szCs w:val="24"/>
        </w:rPr>
        <w:t>Көлік құралдары иелерінің азаматтық-құқықтық жауапкершілігін міндетті сақтандырудың сақтандыру жағдайы:</w:t>
      </w:r>
      <w:r>
        <w:rPr>
          <w:sz w:val="24"/>
          <w:szCs w:val="24"/>
        </w:rPr>
        <w:t>Міндетті шартта көрсетілген сақтандырылған көлік</w:t>
      </w:r>
      <w:r>
        <w:rPr>
          <w:spacing w:val="-6"/>
          <w:sz w:val="24"/>
          <w:szCs w:val="24"/>
        </w:rPr>
        <w:t xml:space="preserve"> </w:t>
      </w:r>
      <w:r>
        <w:rPr>
          <w:sz w:val="24"/>
          <w:szCs w:val="24"/>
        </w:rPr>
        <w:t>құралының</w:t>
      </w:r>
      <w:r>
        <w:rPr>
          <w:spacing w:val="-4"/>
          <w:sz w:val="24"/>
          <w:szCs w:val="24"/>
        </w:rPr>
        <w:t xml:space="preserve"> </w:t>
      </w:r>
      <w:r>
        <w:rPr>
          <w:sz w:val="24"/>
          <w:szCs w:val="24"/>
        </w:rPr>
        <w:t>операциясы</w:t>
      </w:r>
      <w:r>
        <w:rPr>
          <w:spacing w:val="-5"/>
          <w:sz w:val="24"/>
          <w:szCs w:val="24"/>
        </w:rPr>
        <w:t xml:space="preserve"> </w:t>
      </w:r>
      <w:r>
        <w:rPr>
          <w:sz w:val="24"/>
          <w:szCs w:val="24"/>
        </w:rPr>
        <w:t>нәтижесінде</w:t>
      </w:r>
      <w:r>
        <w:rPr>
          <w:spacing w:val="-5"/>
          <w:sz w:val="24"/>
          <w:szCs w:val="24"/>
        </w:rPr>
        <w:t xml:space="preserve"> </w:t>
      </w:r>
      <w:r>
        <w:rPr>
          <w:sz w:val="24"/>
          <w:szCs w:val="24"/>
        </w:rPr>
        <w:t>жәбірленуші</w:t>
      </w:r>
      <w:r>
        <w:rPr>
          <w:spacing w:val="-4"/>
          <w:sz w:val="24"/>
          <w:szCs w:val="24"/>
        </w:rPr>
        <w:t xml:space="preserve"> </w:t>
      </w:r>
      <w:r>
        <w:rPr>
          <w:sz w:val="24"/>
          <w:szCs w:val="24"/>
        </w:rPr>
        <w:t>деп</w:t>
      </w:r>
      <w:r>
        <w:rPr>
          <w:spacing w:val="-5"/>
          <w:sz w:val="24"/>
          <w:szCs w:val="24"/>
        </w:rPr>
        <w:t xml:space="preserve"> </w:t>
      </w:r>
      <w:r>
        <w:rPr>
          <w:sz w:val="24"/>
          <w:szCs w:val="24"/>
        </w:rPr>
        <w:t>танылған</w:t>
      </w:r>
      <w:r>
        <w:rPr>
          <w:spacing w:val="-4"/>
          <w:sz w:val="24"/>
          <w:szCs w:val="24"/>
        </w:rPr>
        <w:t xml:space="preserve"> </w:t>
      </w:r>
      <w:r>
        <w:rPr>
          <w:sz w:val="24"/>
          <w:szCs w:val="24"/>
        </w:rPr>
        <w:t>адамдардың</w:t>
      </w:r>
      <w:r>
        <w:rPr>
          <w:spacing w:val="-5"/>
          <w:sz w:val="24"/>
          <w:szCs w:val="24"/>
        </w:rPr>
        <w:t xml:space="preserve"> </w:t>
      </w:r>
      <w:r>
        <w:rPr>
          <w:sz w:val="24"/>
          <w:szCs w:val="24"/>
        </w:rPr>
        <w:t>өміріне, денсаулығына және (немесе) мүлкіне келтірілген зиянды өтеу үшін сақтанушының азаматтық-құқықтық жауапкершілігінің басталу фактісі сақтандыру жағдайы болып табылады. көлік құралдары иелерінің жауапкершілігін сақтандыру.</w:t>
      </w:r>
    </w:p>
    <w:p w14:paraId="5A481059">
      <w:pPr>
        <w:spacing w:before="200" w:line="276" w:lineRule="auto"/>
        <w:ind w:left="422" w:right="507"/>
        <w:jc w:val="both"/>
        <w:rPr>
          <w:sz w:val="24"/>
          <w:szCs w:val="24"/>
        </w:rPr>
      </w:pPr>
      <w:r>
        <w:rPr>
          <w:sz w:val="24"/>
          <w:szCs w:val="24"/>
        </w:rPr>
        <w:t>Жәбірленушінің өмірі мен денсаулығына келтірілген зиянның мөлшері осы «Көлік құралдары иелерінің азаматтық-құқықтық жауапкершілігін міндетті сақтандыру туралы» Заңына сәйкес айқындалады</w:t>
      </w:r>
    </w:p>
    <w:p w14:paraId="19A81D9F">
      <w:pPr>
        <w:spacing w:before="200" w:line="276" w:lineRule="auto"/>
        <w:ind w:left="422" w:right="507"/>
        <w:jc w:val="both"/>
        <w:rPr>
          <w:sz w:val="24"/>
          <w:szCs w:val="24"/>
        </w:rPr>
      </w:pPr>
      <w:bookmarkStart w:id="4" w:name="_Hlk162956549"/>
      <w:r>
        <w:rPr>
          <w:sz w:val="24"/>
          <w:szCs w:val="24"/>
        </w:rPr>
        <w:t>Сақтандыру мерзімі : 12 ай</w:t>
      </w:r>
    </w:p>
    <w:bookmarkEnd w:id="4"/>
    <w:p w14:paraId="5B02BC25">
      <w:pPr>
        <w:rPr>
          <w:sz w:val="24"/>
          <w:szCs w:val="24"/>
        </w:rPr>
      </w:pPr>
      <w:r>
        <w:rPr>
          <w:sz w:val="24"/>
          <w:szCs w:val="24"/>
        </w:rPr>
        <w:t xml:space="preserve">       </w:t>
      </w:r>
      <w:bookmarkStart w:id="5" w:name="_Hlk162956560"/>
      <w:r>
        <w:rPr>
          <w:sz w:val="24"/>
          <w:szCs w:val="24"/>
        </w:rPr>
        <w:t xml:space="preserve">Жеткізу / қызмет көрсету уақыты: </w:t>
      </w:r>
      <w:bookmarkEnd w:id="5"/>
      <w:r>
        <w:rPr>
          <w:sz w:val="24"/>
          <w:szCs w:val="24"/>
        </w:rPr>
        <w:t xml:space="preserve"> </w:t>
      </w:r>
      <w:bookmarkStart w:id="6" w:name="_Hlk187410970"/>
      <w:r>
        <w:rPr>
          <w:sz w:val="24"/>
          <w:szCs w:val="24"/>
        </w:rPr>
        <w:t>тұтынушының өтініші бойынша</w:t>
      </w:r>
      <w:bookmarkEnd w:id="6"/>
    </w:p>
    <w:p w14:paraId="12F8C6A3">
      <w:pPr>
        <w:rPr>
          <w:sz w:val="24"/>
          <w:szCs w:val="24"/>
        </w:rPr>
      </w:pPr>
      <w:r>
        <w:rPr>
          <w:sz w:val="24"/>
          <w:szCs w:val="24"/>
        </w:rPr>
        <w:t xml:space="preserve">       </w:t>
      </w:r>
      <w:bookmarkStart w:id="7" w:name="_Hlk162956572"/>
      <w:r>
        <w:rPr>
          <w:sz w:val="24"/>
          <w:szCs w:val="24"/>
        </w:rPr>
        <w:t xml:space="preserve">Жеткізу/қызмет көрсету орны: </w:t>
      </w:r>
      <w:bookmarkEnd w:id="7"/>
      <w:r>
        <w:rPr>
          <w:rStyle w:val="11"/>
        </w:rPr>
        <w:t xml:space="preserve">Щучинск </w:t>
      </w:r>
      <w:r>
        <w:rPr>
          <w:rStyle w:val="11"/>
          <w:lang w:val="kk-KZ"/>
        </w:rPr>
        <w:t>қ</w:t>
      </w:r>
      <w:r>
        <w:rPr>
          <w:rStyle w:val="11"/>
        </w:rPr>
        <w:t>.</w:t>
      </w:r>
    </w:p>
    <w:p w14:paraId="6CE923F8">
      <w:pPr>
        <w:rPr>
          <w:sz w:val="24"/>
          <w:szCs w:val="24"/>
        </w:rPr>
      </w:pPr>
    </w:p>
    <w:p w14:paraId="4715C93E">
      <w:pPr>
        <w:rPr>
          <w:sz w:val="24"/>
          <w:szCs w:val="24"/>
        </w:rPr>
      </w:pPr>
    </w:p>
    <w:tbl>
      <w:tblPr>
        <w:tblStyle w:val="3"/>
        <w:tblW w:w="9640" w:type="dxa"/>
        <w:tblInd w:w="0" w:type="dxa"/>
        <w:tblLayout w:type="autofit"/>
        <w:tblCellMar>
          <w:top w:w="0" w:type="dxa"/>
          <w:left w:w="108" w:type="dxa"/>
          <w:bottom w:w="0" w:type="dxa"/>
          <w:right w:w="108" w:type="dxa"/>
        </w:tblCellMar>
      </w:tblPr>
      <w:tblGrid>
        <w:gridCol w:w="960"/>
        <w:gridCol w:w="5320"/>
        <w:gridCol w:w="3360"/>
      </w:tblGrid>
      <w:tr w14:paraId="18FB38AD">
        <w:tblPrEx>
          <w:tblCellMar>
            <w:top w:w="0" w:type="dxa"/>
            <w:left w:w="108" w:type="dxa"/>
            <w:bottom w:w="0" w:type="dxa"/>
            <w:right w:w="108" w:type="dxa"/>
          </w:tblCellMar>
        </w:tblPrEx>
        <w:trPr>
          <w:trHeight w:val="315" w:hRule="atLeast"/>
        </w:trPr>
        <w:tc>
          <w:tcPr>
            <w:tcW w:w="96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2A0BCEB">
            <w:pPr>
              <w:widowControl/>
              <w:autoSpaceDE/>
              <w:autoSpaceDN/>
              <w:jc w:val="center"/>
              <w:rPr>
                <w:b/>
                <w:bCs/>
                <w:color w:val="000000"/>
                <w:sz w:val="24"/>
                <w:szCs w:val="24"/>
                <w:lang w:eastAsia="ru-RU"/>
              </w:rPr>
            </w:pPr>
            <w:r>
              <w:rPr>
                <w:b/>
                <w:bCs/>
                <w:color w:val="000000"/>
                <w:sz w:val="24"/>
                <w:szCs w:val="24"/>
                <w:lang w:eastAsia="ru-RU"/>
              </w:rPr>
              <w:t>№</w:t>
            </w:r>
          </w:p>
        </w:tc>
        <w:tc>
          <w:tcPr>
            <w:tcW w:w="5320" w:type="dxa"/>
            <w:tcBorders>
              <w:top w:val="single" w:color="auto" w:sz="4" w:space="0"/>
              <w:left w:val="nil"/>
              <w:bottom w:val="single" w:color="auto" w:sz="4" w:space="0"/>
              <w:right w:val="single" w:color="auto" w:sz="4" w:space="0"/>
            </w:tcBorders>
            <w:shd w:val="clear" w:color="auto" w:fill="auto"/>
            <w:noWrap/>
            <w:vAlign w:val="center"/>
          </w:tcPr>
          <w:p w14:paraId="7B7C5E68">
            <w:pPr>
              <w:widowControl/>
              <w:autoSpaceDE/>
              <w:autoSpaceDN/>
              <w:jc w:val="center"/>
              <w:rPr>
                <w:b/>
                <w:bCs/>
                <w:color w:val="000000"/>
                <w:sz w:val="24"/>
                <w:szCs w:val="24"/>
                <w:lang w:eastAsia="ru-RU"/>
              </w:rPr>
            </w:pPr>
            <w:r>
              <w:rPr>
                <w:b/>
                <w:bCs/>
                <w:color w:val="000000"/>
                <w:sz w:val="24"/>
                <w:szCs w:val="24"/>
                <w:lang w:eastAsia="ru-RU"/>
              </w:rPr>
              <w:t>Марка, модель транспортного средства</w:t>
            </w:r>
          </w:p>
        </w:tc>
        <w:tc>
          <w:tcPr>
            <w:tcW w:w="3360" w:type="dxa"/>
            <w:tcBorders>
              <w:top w:val="single" w:color="auto" w:sz="4" w:space="0"/>
              <w:left w:val="nil"/>
              <w:bottom w:val="single" w:color="auto" w:sz="4" w:space="0"/>
              <w:right w:val="single" w:color="auto" w:sz="4" w:space="0"/>
            </w:tcBorders>
            <w:shd w:val="clear" w:color="auto" w:fill="auto"/>
            <w:noWrap/>
            <w:vAlign w:val="center"/>
          </w:tcPr>
          <w:p w14:paraId="6D3EB038">
            <w:pPr>
              <w:widowControl/>
              <w:autoSpaceDE/>
              <w:autoSpaceDN/>
              <w:jc w:val="center"/>
              <w:rPr>
                <w:b/>
                <w:bCs/>
                <w:color w:val="000000"/>
                <w:sz w:val="24"/>
                <w:szCs w:val="24"/>
                <w:lang w:eastAsia="ru-RU"/>
              </w:rPr>
            </w:pPr>
            <w:r>
              <w:rPr>
                <w:b/>
                <w:bCs/>
                <w:color w:val="000000"/>
                <w:sz w:val="24"/>
                <w:szCs w:val="24"/>
                <w:lang w:eastAsia="ru-RU"/>
              </w:rPr>
              <w:t>Регион регистрации</w:t>
            </w:r>
          </w:p>
        </w:tc>
      </w:tr>
      <w:tr w14:paraId="7DA1C3AB">
        <w:tblPrEx>
          <w:tblCellMar>
            <w:top w:w="0" w:type="dxa"/>
            <w:left w:w="108" w:type="dxa"/>
            <w:bottom w:w="0" w:type="dxa"/>
            <w:right w:w="108" w:type="dxa"/>
          </w:tblCellMar>
        </w:tblPrEx>
        <w:trPr>
          <w:trHeight w:val="315"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14:paraId="78BA00B6">
            <w:pPr>
              <w:widowControl/>
              <w:autoSpaceDE/>
              <w:autoSpaceDN/>
              <w:jc w:val="center"/>
              <w:rPr>
                <w:color w:val="000000"/>
                <w:sz w:val="24"/>
                <w:szCs w:val="24"/>
                <w:lang w:eastAsia="ru-RU"/>
              </w:rPr>
            </w:pPr>
            <w:bookmarkStart w:id="8" w:name="_GoBack" w:colFirst="1" w:colLast="1"/>
            <w:r>
              <w:rPr>
                <w:color w:val="000000"/>
                <w:sz w:val="24"/>
                <w:szCs w:val="24"/>
                <w:lang w:eastAsia="ru-RU"/>
              </w:rPr>
              <w:t>1</w:t>
            </w:r>
          </w:p>
        </w:tc>
        <w:tc>
          <w:tcPr>
            <w:tcW w:w="5320" w:type="dxa"/>
            <w:tcBorders>
              <w:top w:val="nil"/>
              <w:left w:val="nil"/>
              <w:bottom w:val="single" w:color="auto" w:sz="4" w:space="0"/>
              <w:right w:val="single" w:color="auto" w:sz="4" w:space="0"/>
            </w:tcBorders>
            <w:shd w:val="clear" w:color="auto" w:fill="auto"/>
            <w:noWrap/>
            <w:vAlign w:val="bottom"/>
          </w:tcPr>
          <w:p w14:paraId="12BA4B58">
            <w:pPr>
              <w:widowControl/>
              <w:autoSpaceDE/>
              <w:autoSpaceDN/>
              <w:rPr>
                <w:color w:val="000000"/>
                <w:lang w:eastAsia="ru-RU"/>
              </w:rPr>
            </w:pPr>
            <w:r>
              <w:rPr>
                <w:rFonts w:hint="default"/>
                <w:color w:val="000000"/>
                <w:lang w:val="en-US" w:eastAsia="ru-RU"/>
              </w:rPr>
              <w:t>LADA-21214</w:t>
            </w:r>
          </w:p>
        </w:tc>
        <w:tc>
          <w:tcPr>
            <w:tcW w:w="3360" w:type="dxa"/>
            <w:tcBorders>
              <w:top w:val="nil"/>
              <w:left w:val="nil"/>
              <w:bottom w:val="single" w:color="auto" w:sz="4" w:space="0"/>
              <w:right w:val="single" w:color="auto" w:sz="4" w:space="0"/>
            </w:tcBorders>
            <w:shd w:val="clear" w:color="auto" w:fill="auto"/>
            <w:noWrap/>
            <w:vAlign w:val="center"/>
          </w:tcPr>
          <w:p w14:paraId="0FE920F3">
            <w:pPr>
              <w:widowControl/>
              <w:autoSpaceDE/>
              <w:autoSpaceDN/>
              <w:rPr>
                <w:color w:val="000000"/>
                <w:sz w:val="24"/>
                <w:szCs w:val="24"/>
                <w:lang w:eastAsia="ru-RU"/>
              </w:rPr>
            </w:pPr>
            <w:r>
              <w:rPr>
                <w:color w:val="000000"/>
                <w:sz w:val="24"/>
                <w:szCs w:val="24"/>
                <w:lang w:eastAsia="ru-RU"/>
              </w:rPr>
              <w:t>Акмолинская обл.</w:t>
            </w:r>
          </w:p>
        </w:tc>
      </w:tr>
      <w:tr w14:paraId="6F41C04E">
        <w:tblPrEx>
          <w:tblCellMar>
            <w:top w:w="0" w:type="dxa"/>
            <w:left w:w="108" w:type="dxa"/>
            <w:bottom w:w="0" w:type="dxa"/>
            <w:right w:w="108" w:type="dxa"/>
          </w:tblCellMar>
        </w:tblPrEx>
        <w:trPr>
          <w:trHeight w:val="315"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14:paraId="41DC7C92">
            <w:pPr>
              <w:widowControl/>
              <w:autoSpaceDE/>
              <w:autoSpaceDN/>
              <w:jc w:val="center"/>
              <w:rPr>
                <w:color w:val="000000"/>
                <w:sz w:val="24"/>
                <w:szCs w:val="24"/>
                <w:lang w:eastAsia="ru-RU"/>
              </w:rPr>
            </w:pPr>
            <w:r>
              <w:rPr>
                <w:color w:val="000000"/>
                <w:sz w:val="24"/>
                <w:szCs w:val="24"/>
                <w:lang w:eastAsia="ru-RU"/>
              </w:rPr>
              <w:t>2</w:t>
            </w:r>
          </w:p>
        </w:tc>
        <w:tc>
          <w:tcPr>
            <w:tcW w:w="5320" w:type="dxa"/>
            <w:tcBorders>
              <w:top w:val="nil"/>
              <w:left w:val="nil"/>
              <w:bottom w:val="single" w:color="auto" w:sz="4" w:space="0"/>
              <w:right w:val="single" w:color="auto" w:sz="4" w:space="0"/>
            </w:tcBorders>
            <w:shd w:val="clear" w:color="auto" w:fill="auto"/>
            <w:noWrap/>
            <w:vAlign w:val="bottom"/>
          </w:tcPr>
          <w:p w14:paraId="42A3B3D9">
            <w:pPr>
              <w:widowControl/>
              <w:autoSpaceDE/>
              <w:autoSpaceDN/>
              <w:rPr>
                <w:color w:val="000000"/>
                <w:lang w:eastAsia="ru-RU"/>
              </w:rPr>
            </w:pPr>
            <w:r>
              <w:rPr>
                <w:rFonts w:hint="default"/>
                <w:color w:val="000000"/>
                <w:lang w:val="ru-RU" w:eastAsia="ru-RU"/>
              </w:rPr>
              <w:t>ВАЗ</w:t>
            </w:r>
            <w:r>
              <w:rPr>
                <w:rFonts w:hint="default"/>
                <w:color w:val="000000"/>
                <w:lang w:val="en-US" w:eastAsia="ru-RU"/>
              </w:rPr>
              <w:t xml:space="preserve"> 232900-014-41</w:t>
            </w:r>
          </w:p>
        </w:tc>
        <w:tc>
          <w:tcPr>
            <w:tcW w:w="3360" w:type="dxa"/>
            <w:tcBorders>
              <w:top w:val="nil"/>
              <w:left w:val="nil"/>
              <w:bottom w:val="single" w:color="auto" w:sz="4" w:space="0"/>
              <w:right w:val="single" w:color="auto" w:sz="4" w:space="0"/>
            </w:tcBorders>
            <w:shd w:val="clear" w:color="auto" w:fill="auto"/>
            <w:noWrap/>
            <w:vAlign w:val="center"/>
          </w:tcPr>
          <w:p w14:paraId="1D375843">
            <w:pPr>
              <w:widowControl/>
              <w:autoSpaceDE/>
              <w:autoSpaceDN/>
              <w:rPr>
                <w:color w:val="000000"/>
                <w:sz w:val="24"/>
                <w:szCs w:val="24"/>
                <w:lang w:eastAsia="ru-RU"/>
              </w:rPr>
            </w:pPr>
            <w:r>
              <w:rPr>
                <w:color w:val="000000"/>
                <w:sz w:val="24"/>
                <w:szCs w:val="24"/>
                <w:lang w:eastAsia="ru-RU"/>
              </w:rPr>
              <w:t>Акмолинская обл.</w:t>
            </w:r>
          </w:p>
        </w:tc>
      </w:tr>
      <w:tr w14:paraId="1C4370C5">
        <w:tblPrEx>
          <w:tblCellMar>
            <w:top w:w="0" w:type="dxa"/>
            <w:left w:w="108" w:type="dxa"/>
            <w:bottom w:w="0" w:type="dxa"/>
            <w:right w:w="108" w:type="dxa"/>
          </w:tblCellMar>
        </w:tblPrEx>
        <w:trPr>
          <w:trHeight w:val="315" w:hRule="atLeast"/>
        </w:trPr>
        <w:tc>
          <w:tcPr>
            <w:tcW w:w="960" w:type="dxa"/>
            <w:tcBorders>
              <w:top w:val="nil"/>
              <w:left w:val="single" w:color="auto" w:sz="4" w:space="0"/>
              <w:bottom w:val="single" w:color="auto" w:sz="4" w:space="0"/>
              <w:right w:val="single" w:color="auto" w:sz="4" w:space="0"/>
            </w:tcBorders>
            <w:shd w:val="clear" w:color="auto" w:fill="auto"/>
            <w:noWrap/>
            <w:vAlign w:val="center"/>
          </w:tcPr>
          <w:p w14:paraId="487B527E">
            <w:pPr>
              <w:widowControl/>
              <w:autoSpaceDE/>
              <w:autoSpaceDN/>
              <w:jc w:val="center"/>
              <w:rPr>
                <w:color w:val="000000"/>
                <w:sz w:val="24"/>
                <w:szCs w:val="24"/>
                <w:lang w:eastAsia="ru-RU"/>
              </w:rPr>
            </w:pPr>
            <w:r>
              <w:rPr>
                <w:color w:val="000000"/>
                <w:sz w:val="24"/>
                <w:szCs w:val="24"/>
                <w:lang w:eastAsia="ru-RU"/>
              </w:rPr>
              <w:t>3</w:t>
            </w:r>
          </w:p>
        </w:tc>
        <w:tc>
          <w:tcPr>
            <w:tcW w:w="5320" w:type="dxa"/>
            <w:tcBorders>
              <w:top w:val="nil"/>
              <w:left w:val="nil"/>
              <w:bottom w:val="single" w:color="auto" w:sz="4" w:space="0"/>
              <w:right w:val="single" w:color="auto" w:sz="4" w:space="0"/>
            </w:tcBorders>
            <w:shd w:val="clear" w:color="auto" w:fill="auto"/>
            <w:noWrap/>
            <w:vAlign w:val="bottom"/>
          </w:tcPr>
          <w:p w14:paraId="3E1883D1">
            <w:pPr>
              <w:widowControl/>
              <w:autoSpaceDE/>
              <w:autoSpaceDN/>
              <w:rPr>
                <w:color w:val="000000"/>
                <w:lang w:eastAsia="ru-RU"/>
              </w:rPr>
            </w:pPr>
            <w:r>
              <w:rPr>
                <w:color w:val="000000"/>
                <w:lang w:eastAsia="ru-RU"/>
              </w:rPr>
              <w:t>УАЗ</w:t>
            </w:r>
            <w:r>
              <w:rPr>
                <w:rFonts w:hint="default"/>
                <w:color w:val="000000"/>
                <w:lang w:val="en-US" w:eastAsia="ru-RU"/>
              </w:rPr>
              <w:t>-390945-520</w:t>
            </w:r>
          </w:p>
        </w:tc>
        <w:tc>
          <w:tcPr>
            <w:tcW w:w="3360" w:type="dxa"/>
            <w:tcBorders>
              <w:top w:val="nil"/>
              <w:left w:val="nil"/>
              <w:bottom w:val="single" w:color="auto" w:sz="4" w:space="0"/>
              <w:right w:val="single" w:color="auto" w:sz="4" w:space="0"/>
            </w:tcBorders>
            <w:shd w:val="clear" w:color="auto" w:fill="auto"/>
            <w:noWrap/>
            <w:vAlign w:val="center"/>
          </w:tcPr>
          <w:p w14:paraId="4D85ACCF">
            <w:pPr>
              <w:widowControl/>
              <w:autoSpaceDE/>
              <w:autoSpaceDN/>
              <w:rPr>
                <w:color w:val="000000"/>
                <w:sz w:val="24"/>
                <w:szCs w:val="24"/>
                <w:lang w:eastAsia="ru-RU"/>
              </w:rPr>
            </w:pPr>
            <w:r>
              <w:rPr>
                <w:color w:val="000000"/>
                <w:sz w:val="24"/>
                <w:szCs w:val="24"/>
                <w:lang w:eastAsia="ru-RU"/>
              </w:rPr>
              <w:t>Акмолинская обл.</w:t>
            </w:r>
          </w:p>
        </w:tc>
      </w:tr>
      <w:bookmarkEnd w:id="8"/>
    </w:tbl>
    <w:p w14:paraId="26E135CE">
      <w:pPr>
        <w:ind w:firstLine="720"/>
        <w:rPr>
          <w:sz w:val="24"/>
          <w:szCs w:val="24"/>
        </w:rPr>
      </w:pPr>
    </w:p>
    <w:sectPr>
      <w:pgSz w:w="11910" w:h="16840"/>
      <w:pgMar w:top="1380" w:right="820" w:bottom="280" w:left="6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B15"/>
    <w:rsid w:val="0003343C"/>
    <w:rsid w:val="00075049"/>
    <w:rsid w:val="0009490B"/>
    <w:rsid w:val="00095B27"/>
    <w:rsid w:val="000A38F7"/>
    <w:rsid w:val="000B5FBE"/>
    <w:rsid w:val="000F2CA4"/>
    <w:rsid w:val="00103FDE"/>
    <w:rsid w:val="00132CD0"/>
    <w:rsid w:val="001470B8"/>
    <w:rsid w:val="00173D1A"/>
    <w:rsid w:val="0018106B"/>
    <w:rsid w:val="001926FE"/>
    <w:rsid w:val="001D7718"/>
    <w:rsid w:val="001E775C"/>
    <w:rsid w:val="00287918"/>
    <w:rsid w:val="002F5AEF"/>
    <w:rsid w:val="003068BA"/>
    <w:rsid w:val="003525D8"/>
    <w:rsid w:val="0035396E"/>
    <w:rsid w:val="003A6D7E"/>
    <w:rsid w:val="003B7F4B"/>
    <w:rsid w:val="00421478"/>
    <w:rsid w:val="0042432D"/>
    <w:rsid w:val="00542334"/>
    <w:rsid w:val="005C02A0"/>
    <w:rsid w:val="00600192"/>
    <w:rsid w:val="006376B1"/>
    <w:rsid w:val="00641E99"/>
    <w:rsid w:val="006546D3"/>
    <w:rsid w:val="0069615E"/>
    <w:rsid w:val="006D744C"/>
    <w:rsid w:val="006E1F68"/>
    <w:rsid w:val="0071642B"/>
    <w:rsid w:val="0079378E"/>
    <w:rsid w:val="0079580F"/>
    <w:rsid w:val="007B0FE3"/>
    <w:rsid w:val="007C06CB"/>
    <w:rsid w:val="007C3FB4"/>
    <w:rsid w:val="007D7B2B"/>
    <w:rsid w:val="007E495A"/>
    <w:rsid w:val="007F44EF"/>
    <w:rsid w:val="00816E30"/>
    <w:rsid w:val="00836397"/>
    <w:rsid w:val="008861DD"/>
    <w:rsid w:val="009168C2"/>
    <w:rsid w:val="00927887"/>
    <w:rsid w:val="00932AFD"/>
    <w:rsid w:val="00954C7C"/>
    <w:rsid w:val="00956F22"/>
    <w:rsid w:val="009D58DB"/>
    <w:rsid w:val="00A1148D"/>
    <w:rsid w:val="00A52CD8"/>
    <w:rsid w:val="00A71957"/>
    <w:rsid w:val="00AC3541"/>
    <w:rsid w:val="00B22C96"/>
    <w:rsid w:val="00B24C96"/>
    <w:rsid w:val="00B77182"/>
    <w:rsid w:val="00B909C4"/>
    <w:rsid w:val="00B96956"/>
    <w:rsid w:val="00BA7283"/>
    <w:rsid w:val="00BB6437"/>
    <w:rsid w:val="00C039DA"/>
    <w:rsid w:val="00C32ECF"/>
    <w:rsid w:val="00C40A48"/>
    <w:rsid w:val="00C42D63"/>
    <w:rsid w:val="00C6070C"/>
    <w:rsid w:val="00C67A2D"/>
    <w:rsid w:val="00CC528B"/>
    <w:rsid w:val="00CD13EA"/>
    <w:rsid w:val="00D22B15"/>
    <w:rsid w:val="00D75118"/>
    <w:rsid w:val="00DD69BB"/>
    <w:rsid w:val="00E42E69"/>
    <w:rsid w:val="00E65366"/>
    <w:rsid w:val="00E67314"/>
    <w:rsid w:val="00EA6B41"/>
    <w:rsid w:val="00EA6E6A"/>
    <w:rsid w:val="00EB5B70"/>
    <w:rsid w:val="00ED6FCF"/>
    <w:rsid w:val="00F03A81"/>
    <w:rsid w:val="00F435FC"/>
    <w:rsid w:val="00F54913"/>
    <w:rsid w:val="00F57A69"/>
    <w:rsid w:val="00F61DA7"/>
    <w:rsid w:val="00F72FB4"/>
    <w:rsid w:val="00F817DE"/>
    <w:rsid w:val="7C30432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qFormat="1" w:unhideWhenUsed="0" w:uiPriority="1" w:semiHidden="0" w:name="List Paragraph"/>
  </w:latentStyles>
  <w:style w:type="paragraph" w:default="1" w:styleId="1">
    <w:name w:val="Normal"/>
    <w:qFormat/>
    <w:uiPriority w:val="0"/>
    <w:pPr>
      <w:widowControl w:val="0"/>
      <w:autoSpaceDE w:val="0"/>
      <w:autoSpaceDN w:val="0"/>
    </w:pPr>
    <w:rPr>
      <w:rFonts w:ascii="Times New Roman" w:hAnsi="Times New Roman" w:eastAsia="Times New Roman" w:cs="Times New Roman"/>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ody Text"/>
    <w:basedOn w:val="1"/>
    <w:qFormat/>
    <w:uiPriority w:val="1"/>
    <w:pPr>
      <w:ind w:left="532"/>
    </w:pPr>
    <w:rPr>
      <w:sz w:val="24"/>
      <w:szCs w:val="24"/>
    </w:rPr>
  </w:style>
  <w:style w:type="paragraph" w:styleId="5">
    <w:name w:val="Title"/>
    <w:basedOn w:val="1"/>
    <w:qFormat/>
    <w:uiPriority w:val="10"/>
    <w:pPr>
      <w:ind w:left="532"/>
    </w:pPr>
    <w:rPr>
      <w:b/>
      <w:bCs/>
      <w:sz w:val="28"/>
      <w:szCs w:val="28"/>
    </w:rPr>
  </w:style>
  <w:style w:type="table" w:styleId="6">
    <w:name w:val="Table Grid"/>
    <w:basedOn w:val="3"/>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7">
    <w:name w:val="Table Normal"/>
    <w:semiHidden/>
    <w:unhideWhenUsed/>
    <w:qFormat/>
    <w:uiPriority w:val="2"/>
    <w:tblPr>
      <w:tblCellMar>
        <w:top w:w="0" w:type="dxa"/>
        <w:left w:w="0" w:type="dxa"/>
        <w:bottom w:w="0" w:type="dxa"/>
        <w:right w:w="0" w:type="dxa"/>
      </w:tblCellMar>
    </w:tblPr>
  </w:style>
  <w:style w:type="paragraph" w:styleId="8">
    <w:name w:val="List Paragraph"/>
    <w:basedOn w:val="1"/>
    <w:qFormat/>
    <w:uiPriority w:val="1"/>
  </w:style>
  <w:style w:type="paragraph" w:customStyle="1" w:styleId="9">
    <w:name w:val="Table Paragraph"/>
    <w:basedOn w:val="1"/>
    <w:qFormat/>
    <w:uiPriority w:val="1"/>
    <w:pPr>
      <w:ind w:left="6"/>
      <w:jc w:val="center"/>
    </w:pPr>
  </w:style>
  <w:style w:type="character" w:customStyle="1" w:styleId="10">
    <w:name w:val="ezkurwreuab5ozgtqnkl"/>
    <w:basedOn w:val="2"/>
    <w:qFormat/>
    <w:uiPriority w:val="0"/>
  </w:style>
  <w:style w:type="character" w:customStyle="1" w:styleId="11">
    <w:name w:val="anegp0gi0b9av8jahpyh"/>
    <w:basedOn w:val="2"/>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3AF7D-A7D3-4108-9D9F-DB8860523D04}">
  <ds:schemaRefs/>
</ds:datastoreItem>
</file>

<file path=docProps/app.xml><?xml version="1.0" encoding="utf-8"?>
<Properties xmlns="http://schemas.openxmlformats.org/officeDocument/2006/extended-properties" xmlns:vt="http://schemas.openxmlformats.org/officeDocument/2006/docPropsVTypes">
  <Template>Normal</Template>
  <Pages>2</Pages>
  <Words>656</Words>
  <Characters>4693</Characters>
  <Lines>38</Lines>
  <Paragraphs>10</Paragraphs>
  <TotalTime>4</TotalTime>
  <ScaleCrop>false</ScaleCrop>
  <LinksUpToDate>false</LinksUpToDate>
  <CharactersWithSpaces>5139</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2026-01-13T09:57:00Z</dcterms:created>
  <dc:creator>1111</dc:creator>
  <cp:lastModifiedBy>User</cp:lastModifiedBy>
  <cp:lastPrinted>2025-10-06T07:25:00Z</cp:lastPrinted>
  <dcterms:modified xsi:type="dcterms:W3CDTF">2026-10-16T10:36:07Z</dcterms:modified>
  <dc:title>Приложение к  договору страхования  ОР-73-05/СЕ от «___» сентября 2005 г</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Creator">
    <vt:lpwstr>Microsoft® Word 2019</vt:lpwstr>
  </property>
  <property fmtid="{D5CDD505-2E9C-101B-9397-08002B2CF9AE}" pid="4" name="LastSaved">
    <vt:filetime>2024-04-02T00:00:00Z</vt:filetime>
  </property>
  <property fmtid="{D5CDD505-2E9C-101B-9397-08002B2CF9AE}" pid="5" name="Producer">
    <vt:lpwstr>Microsoft® Word 2019</vt:lpwstr>
  </property>
  <property fmtid="{D5CDD505-2E9C-101B-9397-08002B2CF9AE}" pid="6" name="KSOTemplateDocerSaveRecord">
    <vt:lpwstr>eyJoZGlkIjoiNjhjZjVhNTQ4MjBlNjljZWJiYjk4MzM2YTFjNjgzM2IifQ==</vt:lpwstr>
  </property>
  <property fmtid="{D5CDD505-2E9C-101B-9397-08002B2CF9AE}" pid="7" name="KSOProductBuildVer">
    <vt:lpwstr>1049-12.1.0.29162</vt:lpwstr>
  </property>
  <property fmtid="{D5CDD505-2E9C-101B-9397-08002B2CF9AE}" pid="8" name="ICV">
    <vt:lpwstr>CFDE485BB3054BB0896E6D30211913B1_12</vt:lpwstr>
  </property>
</Properties>
</file>