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="http://schemas.openxmlformats.org/drawingml/2006/wordprocessingDrawing" xmlns:o="urn:schemas-microsoft-com:office:office" xmlns:v="urn:schemas-microsoft-com:vml" xmlns:w="http://schemas.openxmlformats.org/wordprocessingml/2006/main" xmlns:r="http://schemas.openxmlformats.org/officeDocument/2006/relationships" xmlns:mc="http://schemas.openxmlformats.org/markup-compatibility/2006" xmlns:w10="urn:schemas-microsoft-com:office:word" xmlns:wps="http://schemas.microsoft.com/office/word/2010/wordprocessingShape" xmlns:w14="http://schemas.microsoft.com/office/word/2010/wordml" xmlns:wp14="http://schemas.microsoft.com/office/word/2010/wordprocessingDrawing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!--  bidi  -->
                              <w:spacing w:line="240" w:lineRule="auto"/>
                              <w:contextualSpacing/>
                              <w:jc w:val="left"/>
                            </w:pPr>
                            <w:r>
                              <w:rPr>
                                <w:noProof/>
                                <w:position w:val="-6"/>
                                <!-- rtl -->
                              </w:rPr>
                              <w:drawing>
                                <wp:inline distT="0" distB="0" distL="0" distR="0">
                                  <wp:extent cx="316230" cy="179705"/>
                                  <wp:effectExtent l="0" t="0" r="0" b="0"/>
                                  <wp:docPr id="100010001" name="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010001" name="LOGO"/>
                                          <pic:cNvPicPr/>
                                        </pic:nvPicPr>
                                        <pic:blipFill>
                                          <a:blip r:embed="r_odt_logo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230" cy="179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F2B46"/>
                                <w:szCs w:val="18"/>
                              </w:rPr>
                              <w:t xml:space="preserve"> </w:t>
                            </w:r>
                            <w:hyperlink r:id="r_odt_hyperlink" w:history="1" w:tooltip="Doc Translator - www.onlinedoctranslator.com"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!-- rtl -->
                                </w:rPr>
                                <w:t xml:space="preserve">Translated from Russian to Kazakh - </w:t>
                              </w:r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u w:val="single"/>
                                </w:rPr>
                                <w:t>www.onlinedoctranslator.com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DT_ATTR_LBL_SHAPE" type="#_x0000_t202" style="position:absolute;left:0;text-align:left;margin-left:0;margin-top:0;width:611.45pt;height:17.3pt;z-index:251659264;visibility:visible;mso-wrap-style:square;mso-width-percent:100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1000;mso-height-percent:0;mso-width-relative:page;mso-height-relative:margin;v-text-anchor:top" o:gfxdata="" fillcolor="#f2f2f2" stroked="f">
                <v:textbox inset=",0,,0">
                  <w:txbxContent>
                    <w:p>
                      <w:pPr>
                        <w:bidi/>
                        <w:spacing w:line="240" w:lineRule="auto"/>
                        <w:contextualSpacing/>
                        <w:jc w:val="left"/>
                      </w:pPr>
                      <w:r>
                        <w:rPr>
                          <w:noProof/>
                          <w:position w:val="-6"/>
                        </w:rPr>
                        <w:drawing>
                          <wp:inline distT="0" distB="0" distL="0" distR="0">
                            <wp:extent cx="316230" cy="179705"/>
                            <wp:effectExtent l="0" t="0" r="0" b="0"/>
                            <wp:docPr id="100010001" name="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010001" name="LOGO"/>
                                    <pic:cNvPicPr/>
                                  </pic:nvPicPr>
                                  <pic:blipFill>
                                    <a:blip r:embed="r_odt_logo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230" cy="179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F2B46"/>
                          <w:szCs w:val="18"/>
                        </w:rPr>
                        <w:t xml:space="preserve"> </w:t>
                      </w:r>
                      <w:hyperlink r:id="r_odt_hyperlink" w:history="1" w:tooltip="Doc Translator - www.onlinedoctranslator.com"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!-- rtl -->
                          </w:rPr>
                          <w:t xml:space="preserve">Translated from Russian to Kazakh - </w:t>
                        </w:r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u w:val="single"/>
                          </w:rPr>
                          <w:t>www.onlinedoctranslator.com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0B6EB46" w14:textId="77777777" w:rsidR="00985062" w:rsidRPr="00725E9E" w:rsidRDefault="00985062">
      <w:pPr>
        <w:ind w:firstLine="0"/>
        <w:jc w:val="center"/>
        <w:rPr>
          <w:color w:val="auto"/>
          <w:sz w:val="32"/>
          <w:szCs w:val="32"/>
          <w:lang w:val="kk-KZ"/>
        </w:rPr>
      </w:pPr>
    </w:p>
    <w:p w14:paraId="121A99DA" w14:textId="77777777" w:rsidR="00985062" w:rsidRPr="00725E9E" w:rsidRDefault="00000000">
      <w:pPr>
        <w:ind w:firstLine="0"/>
        <w:jc w:val="center"/>
        <w:rPr>
          <w:color w:val="auto"/>
        </w:rPr>
      </w:pPr>
      <w:r w:rsidRPr="00725E9E">
        <w:rPr>
          <w:color w:val="auto"/>
          <w:sz w:val="32"/>
          <w:szCs w:val="32"/>
        </w:rPr>
        <w:t xml:space="preserve">Деректер парағы</w:t>
      </w:r>
    </w:p>
    <w:p w14:paraId="66284F60" w14:textId="01C96B9D" w:rsidR="00985062" w:rsidRDefault="00000000">
      <w:pPr>
        <w:ind w:firstLine="0"/>
        <w:jc w:val="center"/>
        <w:rPr>
          <w:color w:val="auto"/>
          <w:szCs w:val="24"/>
        </w:rPr>
      </w:pPr>
      <w:r w:rsidRPr="00725E9E">
        <w:rPr>
          <w:color w:val="auto"/>
          <w:sz w:val="32"/>
          <w:szCs w:val="32"/>
        </w:rPr>
        <w:t>агроөнеркәсіптік кешенді техникалық қызмет көрсету үшін  </w:t>
      </w:r>
      <w:r w:rsidR="00725E9E" w:rsidRPr="00725E9E">
        <w:rPr>
          <w:color w:val="auto"/>
          <w:szCs w:val="24"/>
        </w:rPr>
        <w:t xml:space="preserve">Көшпенділер мектебі</w:t>
      </w:r>
    </w:p>
    <w:p w14:paraId="26CA21E3" w14:textId="77777777" w:rsidR="00186128" w:rsidRPr="00186128" w:rsidRDefault="00186128" w:rsidP="00186128">
      <w:pPr>
        <w:ind w:firstLine="0"/>
        <w:jc w:val="center"/>
        <w:rPr>
          <w:color w:val="auto"/>
          <w:szCs w:val="24"/>
          <w:lang w:val="kk-KZ"/>
        </w:rPr>
      </w:pPr>
    </w:p>
    <w:p w14:paraId="03F7B849" w14:textId="2E43841F" w:rsidR="00186128" w:rsidRPr="00186128" w:rsidRDefault="00186128" w:rsidP="00186128">
      <w:pPr>
        <w:ind w:firstLine="0"/>
        <w:jc w:val="center"/>
        <w:rPr>
          <w:color w:val="auto"/>
          <w:szCs w:val="24"/>
          <w:u w:val="single"/>
          <w:lang w:val="kk-KZ"/>
        </w:rPr>
      </w:pPr>
      <w:r w:rsidRPr="00186128">
        <w:rPr>
          <w:color w:val="auto"/>
          <w:szCs w:val="24"/>
          <w:lang w:val="kk-KZ"/>
        </w:rPr>
        <w:t>Қарағанды ​​облысы, Абай қаласы, Гагарин көшесі, 1, Қарағанды ​​облысы, Абай ауданы білім бөлімінің "Қаныш Сәтпаев атындағы қосымша білім беру мектеп-орталығы" коммуналдық мемлекеттік мекемесі</w:t>
      </w:r>
    </w:p>
    <w:p w14:paraId="2B061894" w14:textId="77777777" w:rsidR="00725E9E" w:rsidRDefault="00725E9E">
      <w:pPr>
        <w:ind w:firstLine="0"/>
        <w:jc w:val="center"/>
        <w:rPr>
          <w:color w:val="auto"/>
          <w:szCs w:val="24"/>
          <w:lang w:val="kk-KZ"/>
        </w:rPr>
      </w:pPr>
    </w:p>
    <w:p w14:paraId="57DEA0B2" w14:textId="77777777" w:rsidR="00725E9E" w:rsidRDefault="00725E9E">
      <w:pPr>
        <w:ind w:firstLine="0"/>
        <w:jc w:val="center"/>
        <w:rPr>
          <w:color w:val="auto"/>
          <w:szCs w:val="24"/>
          <w:lang w:val="kk-KZ"/>
        </w:rPr>
      </w:pPr>
    </w:p>
    <w:p w14:paraId="145925DA" w14:textId="0359E03E" w:rsidR="00725E9E" w:rsidRPr="00186128" w:rsidRDefault="00725E9E" w:rsidP="00725E9E">
      <w:pPr>
        <w:ind w:firstLine="0"/>
        <w:rPr>
          <w:color w:val="auto"/>
          <w:szCs w:val="24"/>
        </w:rPr>
      </w:pPr>
      <w:r>
        <w:rPr>
          <w:color w:val="auto"/>
          <w:szCs w:val="24"/>
          <w:lang w:val="kk-KZ"/>
        </w:rPr>
        <w:t>Мердігердің қолданыстағы жүйені жаңасымен ауыстыруға құқығы жоқ.</w:t>
      </w:r>
    </w:p>
    <w:p w14:paraId="2837A449" w14:textId="3D840A24" w:rsidR="002377A3" w:rsidRPr="002377A3" w:rsidRDefault="002377A3" w:rsidP="00725E9E">
      <w:pPr>
        <w:ind w:firstLine="0"/>
        <w:rPr>
          <w:color w:val="auto"/>
        </w:rPr>
      </w:pPr>
      <w:r>
        <w:rPr>
          <w:color w:val="auto"/>
          <w:szCs w:val="24"/>
        </w:rPr>
        <w:t>Барлық жұмыстар тек техникалық қызмет көрсету, жөндеу, жаңғырту (толық ауыстырусыз) және қолданыстағы жүйенің үздіксіз жұмысын қамтамасыз ету шеңберінде жүргізілуі тиіс.</w:t>
      </w:r>
    </w:p>
    <w:p w14:paraId="7EA703FB" w14:textId="77777777" w:rsidR="00985062" w:rsidRDefault="00985062">
      <w:pPr>
        <w:jc w:val="center"/>
        <w:rPr>
          <w:color w:val="auto"/>
          <w:szCs w:val="24"/>
        </w:rPr>
      </w:pPr>
    </w:p>
    <w:p w14:paraId="02E18F99" w14:textId="6EBB224E" w:rsidR="00725E9E" w:rsidRPr="002377A3" w:rsidRDefault="00725E9E" w:rsidP="00725E9E">
      <w:pPr>
        <w:ind w:firstLine="0"/>
        <w:rPr>
          <w:color w:val="auto"/>
          <w:szCs w:val="24"/>
          <w:lang w:val="kk-KZ"/>
        </w:rPr>
      </w:pPr>
      <w:r w:rsidRPr="002377A3">
        <w:rPr>
          <w:color w:val="auto"/>
          <w:szCs w:val="24"/>
          <w:lang w:val="kk-KZ"/>
        </w:rPr>
        <w:t>1. Қызметтің атауы</w:t>
      </w:r>
    </w:p>
    <w:p w14:paraId="224EA10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Nomad мектебінің аппараттық-бағдарламалық кешеніне (АБК) техникалық қызмет көрсету.</w:t>
      </w:r>
    </w:p>
    <w:p w14:paraId="3D841EC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FC38344" w14:textId="01ECA679" w:rsidR="00725E9E" w:rsidRPr="002377A3" w:rsidRDefault="00725E9E" w:rsidP="00725E9E">
      <w:pPr>
        <w:ind w:firstLine="0"/>
        <w:rPr>
          <w:color w:val="auto"/>
          <w:szCs w:val="24"/>
          <w:lang w:val="kk-KZ"/>
        </w:rPr>
      </w:pPr>
      <w:r w:rsidRPr="002377A3">
        <w:rPr>
          <w:color w:val="auto"/>
          <w:szCs w:val="24"/>
          <w:lang w:val="kk-KZ"/>
        </w:rPr>
        <w:t>2. Қызмет көрсетудің мақсаты</w:t>
      </w:r>
    </w:p>
    <w:p w14:paraId="6A8FBF3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Nomad School аппараттық және бағдарламалық жүйесінің үздіксіз және тұрақты жұмысын қамтамасыз ету, жабдықтар мен бағдарламалық жасақтаманың жұмыс істеу қабілетін сақтау, кез келген мәселелерді уақтылы анықтау және жою.</w:t>
      </w:r>
    </w:p>
    <w:p w14:paraId="27A76FF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D7ECEB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3. Қызметтердің мазмұны мен көлемі</w:t>
      </w:r>
    </w:p>
    <w:p w14:paraId="64CD0B9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943444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Мердігер Nomad School APCS техникалық қызмет көрсетуін қамтамасыз етуге міндетті, оның ішінде:</w:t>
      </w:r>
    </w:p>
    <w:p w14:paraId="14A015A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C6AFBF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APCS құрамына кіретін жабдықтардың техникалық жағдайын диагностикалауды жүргізу.</w:t>
      </w:r>
    </w:p>
    <w:p w14:paraId="0F51D05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Аппараттық және бағдарламалық жасақтама компоненттерінің жұмысын тексеру.</w:t>
      </w:r>
    </w:p>
    <w:p w14:paraId="50B31CC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Кешеннің дұрыс жұмыс істеуін және оның компоненттерінің өзара әрекеттесуін тексеру.</w:t>
      </w:r>
    </w:p>
    <w:p w14:paraId="026409D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Техникалық ақаулар мен қателіктердің себептерін анықтау.</w:t>
      </w:r>
    </w:p>
    <w:p w14:paraId="52D92C4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Берілген өкілеттіктер мен келісімшарт талаптары шегінде анықталған ақауларды жою жұмыстарын жүргізу.</w:t>
      </w:r>
    </w:p>
    <w:p w14:paraId="7084971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Техникалық жұмыстардан кейін жабдықтың жұмысқа қабілеттілігін тексеру.</w:t>
      </w:r>
    </w:p>
    <w:p w14:paraId="29A4D1B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Кешеннің жұмысына қатысты мәселелер бойынша Тапсырыс берушінің жауапты қызметкерлеріне кеңес беру және техникалық қолдау көрсету.</w:t>
      </w:r>
    </w:p>
    <w:p w14:paraId="330DAE8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Ақаулардың қайталануын болдырмау бойынша ұсыныстар беру.</w:t>
      </w:r>
    </w:p>
    <w:p w14:paraId="2EEE07A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Сұраныстардың, анықталған ақаулардың және орындалған жұмыстардың жазбаларын жүргізу.</w:t>
      </w:r>
    </w:p>
    <w:p w14:paraId="7CA76C0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Тапсырыс берушіге жүргізілген техникалық қызмет көрсету туралы есептерді ұсыну.</w:t>
      </w:r>
    </w:p>
    <w:p w14:paraId="3DE724E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77F70C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 Қызмет көрсетуге қойылатын талаптар</w:t>
      </w:r>
    </w:p>
    <w:p w14:paraId="1F1691B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3FE0998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4.1. Қызметтерді тиісті жабдықтармен және бағдарламалық жасақтамамен жұмыс істеуде қажетті білімі мен тәжірибесі бар білікті мамандар көрсетуі тиіс.</w:t>
      </w:r>
    </w:p>
    <w:p w14:paraId="266FBD6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7C1993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4.2. Техникалық қызмет көрсету өндірушінің техникалық құжаттамасына, жабдықтың жұмыс істеу шарттарына және Қазақстан Республикасы заңнамасының талаптарына сәйкес жүргізілуі тиіс.</w:t>
      </w:r>
    </w:p>
    <w:p w14:paraId="4920B94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07711697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lastRenderedPageBreak/>
        <w:t>4.3. Мердігер Тапсырыс берушінің сұраныстарына жедел жауап беруге және кешеннің жұмысын қалпына келтіру үшін қажетті шараларды қабылдауға міндетті.</w:t>
      </w:r>
    </w:p>
    <w:p w14:paraId="187C560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4FC323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4.4. Барлық жұмыс ақпараттық қауіпсіздік талаптарына және Тапсырыс берушінің деректерінің құпиялылығына сәйкес орындалуы тиіс.</w:t>
      </w:r>
    </w:p>
    <w:p w14:paraId="0A1F3742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A97995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4.5. Техникалық жұмыстарды жүргізу кезінде жабдықтың зақымдануына, деректердің жоғалуына немесе Тапсырыс берушінің басқа ақпараттық жүйелерінің жұмыс істеуінің бұзылуына жол берілмейді.</w:t>
      </w:r>
    </w:p>
    <w:p w14:paraId="54E2B1E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17D03BE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5. Қызмет көрсету тәртібі</w:t>
      </w:r>
    </w:p>
    <w:p w14:paraId="2A968A8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C4CF15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Техникалық қызмет көрсету келісімшарт мерзімі ішінде келісілген кестеге және Тапсырыс берушінің сұраныстарына сәйкес жүзеге асырылады.</w:t>
      </w:r>
    </w:p>
    <w:p w14:paraId="5ED3C5C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D57A3E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Көрсетілген қызметтердің нәтижелері бойынша Мердігер жұмыстың аяқталғаны туралы актіні және орындалған іс-шараларды, анықталған ақауларды және оларды жою бойынша қабылданған шараларды көрсететін есепті ұсынады.</w:t>
      </w:r>
    </w:p>
    <w:p w14:paraId="2638E197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F3328B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6. Көрсетілген қызметтердің нәтижелеріне қойылатын талаптар</w:t>
      </w:r>
    </w:p>
    <w:p w14:paraId="18AD933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5F4F7A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Көрсетілген қызметтердің нәтижесі - жабдық пен бағдарламалық жасақтаманың техникалық мүмкіндіктері шегінде Nomad School APCS жұмысын сақтау, ақаулықтарды уақтылы анықтау және жою, сондай-ақ Тапсырыс берушіге есеп беру құжаттамасын ұсыну.</w:t>
      </w:r>
    </w:p>
    <w:p w14:paraId="31CD7944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32B1F70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7. Есеп беру талаптары</w:t>
      </w:r>
    </w:p>
    <w:p w14:paraId="705D97E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199A87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Есепті кезеңнің соңында Мердігер Тапсырыс берушіге орындалған жұмыстардың тізімін және техникалық қызмет көрсету нәтижелерін көрсете отырып, қызметтердің нақты көрсетілгенін растайтын құжаттарды ұсынады.</w:t>
      </w:r>
    </w:p>
    <w:p w14:paraId="0EE11A47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CB9D3FB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8. Қызмет көрсету орны</w:t>
      </w:r>
    </w:p>
    <w:p w14:paraId="30063B3F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A1BAB7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Мемлекеттік сатып алу туралы шартта анықталған Тапсырыс берушінің орналасқан жері бойынша.</w:t>
      </w:r>
    </w:p>
    <w:p w14:paraId="128EBED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093B1AB1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9. Қызмет көрсету мерзімі</w:t>
      </w:r>
    </w:p>
    <w:p w14:paraId="3B7BA5B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1190ED72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Мемлекеттік сатып алу туралы шарттың талаптарына сәйкес.</w:t>
      </w:r>
    </w:p>
    <w:p w14:paraId="7FF1D5F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7BAAAE0F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10. Қосымша шарттар</w:t>
      </w:r>
    </w:p>
    <w:p w14:paraId="5DE4785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0E9D4C3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Қосалқы бөлшектер, жинақтаушы бөлшектер, шығын материалдары, жабдықты жаңарту және белгіленген техникалық қызмет көрсету көлеміне кірмейтін жұмыстарды орындау шартта көзделген және тараптар келіскен тәртіппен жүзеге асырылады.</w:t>
      </w:r>
    </w:p>
    <w:p w14:paraId="4593FBE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5934B10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Соңғы нұсқа үшін Nomad School APK файлыңызға не кіретінін нақтылау маңызды.</w:t>
      </w:r>
    </w:p>
    <w:p w14:paraId="55792686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3C7C49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Не қызмет көрсету керек?</w:t>
      </w:r>
    </w:p>
    <w:p w14:paraId="41CE7E0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9C56E7E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1. Көшпенділер мектебінің APC құрамы</w:t>
      </w:r>
    </w:p>
    <w:p w14:paraId="162CA81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4A399622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Бейнебақылау</w:t>
      </w:r>
    </w:p>
    <w:p w14:paraId="1E41620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Кіруді бақылау және турникеттер</w:t>
      </w:r>
    </w:p>
    <w:p w14:paraId="4D5A91E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Компьютерлер және желілік жабдықтар</w:t>
      </w:r>
    </w:p>
    <w:p w14:paraId="269CA303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lastRenderedPageBreak/>
        <w:t>Бағдарламалық жасақтама және бүкіл кешен</w:t>
      </w:r>
    </w:p>
    <w:p w14:paraId="62267E3C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Басқа жабдықтар</w:t>
      </w:r>
    </w:p>
    <w:p w14:paraId="79C59CF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2D23690D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2. Қызмет көрсету мерзімі</w:t>
      </w:r>
    </w:p>
    <w:p w14:paraId="4281EFEA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38908EF4" w14:textId="28C2B5D6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>
        <w:rPr>
          <w:b w:val="0"/>
          <w:bCs w:val="0"/>
          <w:color w:val="auto"/>
          <w:szCs w:val="24"/>
          <w:lang w:val="kk-KZ"/>
        </w:rPr>
        <w:t>3 ай</w:t>
      </w:r>
    </w:p>
    <w:p w14:paraId="1CC8F32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64249760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3. Қызмет көрсету көлемі</w:t>
      </w:r>
    </w:p>
    <w:p w14:paraId="6AD01BE8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</w:p>
    <w:p w14:paraId="4CCB91E9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Тек жоспарлы техникалық қызмет көрсету</w:t>
      </w:r>
    </w:p>
    <w:p w14:paraId="38A97096" w14:textId="447CEA64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Техникалық қызмет көрсету және жөндеу</w:t>
      </w:r>
    </w:p>
    <w:p w14:paraId="5750F545" w14:textId="77777777" w:rsidR="00725E9E" w:rsidRPr="00725E9E" w:rsidRDefault="00725E9E" w:rsidP="00725E9E">
      <w:pPr>
        <w:ind w:firstLine="0"/>
        <w:rPr>
          <w:b w:val="0"/>
          <w:bCs w:val="0"/>
          <w:color w:val="auto"/>
          <w:szCs w:val="24"/>
          <w:lang w:val="kk-KZ"/>
        </w:rPr>
      </w:pPr>
      <w:r w:rsidRPr="00725E9E">
        <w:rPr>
          <w:b w:val="0"/>
          <w:bCs w:val="0"/>
          <w:color w:val="auto"/>
          <w:szCs w:val="24"/>
          <w:lang w:val="kk-KZ"/>
        </w:rPr>
        <w:t>Құрамдас бөліктерді техникалық қызмет көрсету, жөндеу және ауыстыру</w:t>
      </w:r>
    </w:p>
    <w:sectPr w:rsidR="00725E9E" w:rsidRPr="00725E9E">
      <w:pgSz w:w="11906" w:h="16838"/>
      <w:pgMar w:top="568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altName w:val="Cambria"/>
    <w:charset w:val="00"/>
    <w:family w:val="roman"/>
    <w:pitch w:val="default"/>
  </w:font>
  <w:font w:name="Liberation Sans">
    <w:altName w:val="Arial"/>
    <w:charset w:val="CC"/>
    <w:family w:val="swiss"/>
    <w:pitch w:val="default"/>
  </w:font>
  <w:font w:name="Noto Sans CJK SC">
    <w:altName w:val="Segoe Print"/>
    <w:charset w:val="00"/>
    <w:family w:val="roman"/>
    <w:pitch w:val="default"/>
  </w:font>
  <w:font w:name="SimHei">
    <w:altName w:val="黑体"/>
    <w:panose1 w:val="02010600030101010101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E01EF"/>
    <w:multiLevelType w:val="multilevel"/>
    <w:tmpl w:val="252E01E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754473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0BA"/>
    <w:rsid w:val="00186128"/>
    <w:rsid w:val="002377A3"/>
    <w:rsid w:val="00725E9E"/>
    <w:rsid w:val="008620BA"/>
    <w:rsid w:val="008D2EDF"/>
    <w:rsid w:val="00985062"/>
    <w:rsid w:val="00C456EE"/>
    <w:rsid w:val="00E06415"/>
    <w:rsid w:val="00F76E46"/>
    <w:rsid w:val="189E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2EC3B"/>
  <w15:docId w15:val="{312262F8-110B-4575-8B7E-5B105EC5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ind w:firstLine="709"/>
      <w:jc w:val="both"/>
    </w:pPr>
    <w:rPr>
      <w:rFonts w:ascii="Times New Roman" w:eastAsia="Calibri" w:hAnsi="Times New Roman" w:cs="Times New Roman"/>
      <w:b/>
      <w:bCs/>
      <w:color w:val="323232"/>
      <w:spacing w:val="-4"/>
      <w:sz w:val="24"/>
      <w:szCs w:val="30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index heading"/>
    <w:basedOn w:val="a"/>
    <w:qFormat/>
    <w:pPr>
      <w:suppressLineNumbers/>
    </w:pPr>
    <w:rPr>
      <w:rFonts w:cs="Lohit Devanagari"/>
    </w:rPr>
  </w:style>
  <w:style w:type="paragraph" w:styleId="a6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List"/>
    <w:basedOn w:val="a4"/>
    <w:qFormat/>
    <w:rPr>
      <w:rFonts w:cs="Lohit Devanagari"/>
    </w:rPr>
  </w:style>
  <w:style w:type="table" w:styleId="a8">
    <w:name w:val="Table Grid"/>
    <w:basedOn w:val="a1"/>
    <w:uiPriority w:val="39"/>
    <w:qFormat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Маркеры"/>
    <w:qFormat/>
    <w:rPr>
      <w:rFonts w:ascii="OpenSymbol" w:eastAsia="OpenSymbol" w:hAnsi="OpenSymbol" w:cs="OpenSymbol"/>
    </w:rPr>
  </w:style>
  <w:style w:type="paragraph" w:customStyle="1" w:styleId="user">
    <w:name w:val="Заголовок (user)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_odt_hyperlink" Type="http://schemas.openxmlformats.org/officeDocument/2006/relationships/hyperlink" Target="https://www.onlinedoctranslator.com/en/?utm_source=onlinedoctranslator&amp;utm_medium=docx&amp;utm_campaign=attribution" TargetMode="External"/><Relationship Id="r_odt_logo" Type="http://schemas.openxmlformats.org/officeDocument/2006/relationships/image" Target="media/odt_attribution_logo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</dc:creator>
  <cp:lastModifiedBy>Igor Bas</cp:lastModifiedBy>
  <cp:revision>8</cp:revision>
  <dcterms:created xsi:type="dcterms:W3CDTF">2026-01-16T05:52:00Z</dcterms:created>
  <dcterms:modified xsi:type="dcterms:W3CDTF">2026-10-13T11:00:00Z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FA03335D05DD42C791BEFFA8430A4385_13</vt:lpwstr>
  </property>
</Properties>
</file>