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65406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5C324D9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оказание услуг по проведению семинара</w:t>
      </w:r>
    </w:p>
    <w:p w14:paraId="5A9391A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6A4789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5600DA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F8D081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4463C2F9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423BA9B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10"/>
        <w:tblW w:w="10202" w:type="dxa"/>
        <w:tblInd w:w="0" w:type="dxa"/>
        <w:tblBorders>
          <w:top w:val="single" w:color="999999" w:themeColor="text1" w:themeTint="66" w:sz="4" w:space="0"/>
          <w:left w:val="single" w:color="999999" w:themeColor="text1" w:themeTint="66" w:sz="4" w:space="0"/>
          <w:bottom w:val="single" w:color="999999" w:themeColor="text1" w:themeTint="66" w:sz="4" w:space="0"/>
          <w:right w:val="single" w:color="999999" w:themeColor="text1" w:themeTint="66" w:sz="4" w:space="0"/>
          <w:insideH w:val="single" w:color="999999" w:themeColor="text1" w:themeTint="66" w:sz="4" w:space="0"/>
          <w:insideV w:val="single" w:color="999999" w:themeColor="text1" w:themeTint="66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8647"/>
      </w:tblGrid>
      <w:tr w14:paraId="5EDC9750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55" w:type="dxa"/>
            <w:tcBorders>
              <w:bottom w:val="single" w:color="666666" w:themeColor="text1" w:themeTint="99" w:sz="12" w:space="0"/>
              <w:insideH w:val="single" w:sz="12" w:space="0"/>
            </w:tcBorders>
          </w:tcPr>
          <w:p w14:paraId="05E9BFF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  <w:t>Наименование семинара:</w:t>
            </w:r>
          </w:p>
        </w:tc>
        <w:tc>
          <w:tcPr>
            <w:tcW w:w="8647" w:type="dxa"/>
            <w:tcBorders>
              <w:bottom w:val="single" w:color="666666" w:themeColor="text1" w:themeTint="99" w:sz="12" w:space="0"/>
              <w:insideH w:val="single" w:sz="12" w:space="0"/>
            </w:tcBorders>
          </w:tcPr>
          <w:p w14:paraId="6A66A4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«Актуальные изменения в бухгалтерском учете в соответствии с МСФО» «Изменения в Налоговом кодексе РК» «МСФО (IFRS) 18: Подготовка к применению нового стандарта и ключевые изменения и их влияние на финансовую отчетность» </w:t>
            </w:r>
          </w:p>
          <w:p w14:paraId="21CD5FB0">
            <w:pPr>
              <w:pStyle w:val="11"/>
              <w:jc w:val="both"/>
              <w:rPr>
                <w:b/>
                <w:bCs w:val="0"/>
                <w:lang w:eastAsia="en-US"/>
              </w:rPr>
            </w:pPr>
          </w:p>
        </w:tc>
      </w:tr>
      <w:tr w14:paraId="747E31DB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55" w:type="dxa"/>
          </w:tcPr>
          <w:p w14:paraId="751F625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  <w:t>Содержание программы:</w:t>
            </w:r>
          </w:p>
          <w:p w14:paraId="625FA41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956BF">
            <w:pPr>
              <w:numPr>
                <w:ilvl w:val="0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Актуальные изменения в МСФО</w:t>
            </w:r>
          </w:p>
          <w:p w14:paraId="47D1DA4B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Обзор ключевых изменений в стандартах МСФО, вступивших в силу в 2025 году.</w:t>
            </w:r>
          </w:p>
          <w:p w14:paraId="58B0414B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Влияние изменений на финансовую отчетность и бизнес-процессы.</w:t>
            </w:r>
          </w:p>
          <w:p w14:paraId="7CC5B01C">
            <w:pPr>
              <w:numPr>
                <w:ilvl w:val="0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МСФО (IFRS) 9: Финансовые инструменты</w:t>
            </w:r>
          </w:p>
          <w:p w14:paraId="47022885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Обновления в классификации и оценке финансовых активов и обязательств.</w:t>
            </w:r>
          </w:p>
          <w:p w14:paraId="38D94405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Практические аспекты применения модели ожидаемых кредитных убытков (ECL).</w:t>
            </w:r>
          </w:p>
          <w:p w14:paraId="02133528">
            <w:pPr>
              <w:numPr>
                <w:ilvl w:val="0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МСФО (IFRS) 15: Выручка по договорам с клиентами</w:t>
            </w:r>
          </w:p>
          <w:p w14:paraId="35EB01FE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Уточнения в пятиэтапной модели признания выручки.</w:t>
            </w:r>
          </w:p>
          <w:p w14:paraId="13B84B8A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Примеры применения стандарта в сложных договорных условиях.</w:t>
            </w:r>
          </w:p>
          <w:p w14:paraId="2036A495">
            <w:pPr>
              <w:numPr>
                <w:ilvl w:val="0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МСФО (IFRS) 16: Аренда</w:t>
            </w:r>
          </w:p>
          <w:p w14:paraId="6B54AB7D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Изменения в учете аренды у арендатора и арендодателя.</w:t>
            </w:r>
          </w:p>
          <w:p w14:paraId="2A43BF91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Влияние новых поправок на финансовую отчетность.</w:t>
            </w:r>
          </w:p>
          <w:p w14:paraId="0418D98C">
            <w:pPr>
              <w:numPr>
                <w:ilvl w:val="0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МСФО (IAS) 37: Оценочные обязательства, условные обязательства и условные активы</w:t>
            </w:r>
          </w:p>
          <w:p w14:paraId="485E885B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Обновления в признании и оценке оценочных обязательств.</w:t>
            </w:r>
          </w:p>
          <w:p w14:paraId="6DA1E33F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Практические примеры учета условных активов и обязательств.</w:t>
            </w:r>
          </w:p>
          <w:p w14:paraId="7697E012">
            <w:pPr>
              <w:numPr>
                <w:ilvl w:val="0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МСФО (IFRS) 17: Договоры страхования</w:t>
            </w:r>
          </w:p>
          <w:p w14:paraId="3B7BF9DE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Основные изменения в учете договоров страхования.</w:t>
            </w:r>
          </w:p>
          <w:p w14:paraId="1E2D7FB5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Влияние стандарта на отчетность страховых компаний.</w:t>
            </w:r>
          </w:p>
          <w:p w14:paraId="52891639">
            <w:pPr>
              <w:numPr>
                <w:ilvl w:val="0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МСФО (IAS) 8: Учетная политика, изменения в бухгалтерских оценках и ошибки</w:t>
            </w:r>
          </w:p>
          <w:p w14:paraId="70266FE1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Новые подходы к учетной политике и изменениям в оценках.</w:t>
            </w:r>
          </w:p>
          <w:p w14:paraId="0D9F0F84">
            <w:pPr>
              <w:numPr>
                <w:ilvl w:val="1"/>
                <w:numId w:val="1"/>
              </w:numPr>
              <w:tabs>
                <w:tab w:val="left" w:pos="235"/>
                <w:tab w:val="left" w:pos="377"/>
              </w:tabs>
              <w:spacing w:after="0" w:line="240" w:lineRule="auto"/>
              <w:ind w:left="94" w:firstLine="0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Практические аспекты исправления ошибок в отчетности.</w:t>
            </w:r>
          </w:p>
          <w:p w14:paraId="1647A033">
            <w:pPr>
              <w:tabs>
                <w:tab w:val="left" w:pos="377"/>
              </w:tabs>
              <w:spacing w:after="0" w:line="240" w:lineRule="auto"/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Проблемы учета отложенных налогов.</w:t>
            </w:r>
          </w:p>
          <w:p w14:paraId="54D992C0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Обзор изменений в Налоговом кодексе РК.</w:t>
            </w:r>
          </w:p>
          <w:p w14:paraId="39DFC1DE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Специальный налоговый режим.</w:t>
            </w:r>
          </w:p>
          <w:p w14:paraId="581D2DA0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Условия применения для самозанятых при использовании специального налогового режима. Виды деятельности, по которым могут работать физические лица как самозанятые в 2026 году. Ограничения. 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</w:p>
          <w:p w14:paraId="3C14053F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Условия применения СНР на основе упрощенной декларации в 2026 году. Виды деятельности, по которым запрещено применение СНР на основе упрощенной декларации в разрезе ОКЭД. Выписка ЭСФ. Сроки представить уведомление для перехода на СНР на основе упрощенной декларации.   </w:t>
            </w:r>
          </w:p>
          <w:p w14:paraId="6F05877B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Условия применения СНР для крестьянских или фермерских хозяйств 2026 году.</w:t>
            </w:r>
          </w:p>
          <w:p w14:paraId="422B7A09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ИПН и социальный налог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Изменения по ИПН и социальному налогу в Налоговом кодексе (основные изменения по объектам обложения, не доходам и уменьшениям доходов, налоговые вычеты, прогрессивная шкала ставок ИПН, исключение льгот и др.)</w:t>
            </w:r>
          </w:p>
          <w:p w14:paraId="18F58AF5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Прогрессивная шкала ИПН — для социальной справедливости.</w:t>
            </w:r>
          </w:p>
          <w:p w14:paraId="1EE08AC2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Порядок налогообложения дивидендов, выплачиваемых в 2026 году резиденту/нерезиденту.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</w:p>
          <w:p w14:paraId="2737FF55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Форма отчетности ИП по упрощенной декларации с наемными работниками</w:t>
            </w:r>
          </w:p>
          <w:p w14:paraId="2A4B24F7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Прочие экономические выгоды, не являющиеся доходом физического лица</w:t>
            </w:r>
          </w:p>
          <w:p w14:paraId="1FD5DD57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Уменьшение дохода, подлежащего налогообложению – вместо корректировки доходов</w:t>
            </w:r>
          </w:p>
          <w:p w14:paraId="6A9922A0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Налоговые вычеты</w:t>
            </w:r>
          </w:p>
          <w:p w14:paraId="0FD25408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Ставки: 10 и 15%</w:t>
            </w:r>
          </w:p>
          <w:p w14:paraId="12EE6CB5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Социальный налог</w:t>
            </w:r>
          </w:p>
          <w:p w14:paraId="5FCD1F43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Всеобщее декларирование.</w:t>
            </w:r>
          </w:p>
          <w:p w14:paraId="5B35406E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НДС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Изменения по НДС в Налоговом кодексе 2026г (плательщики НДС, порог по НДС, облагаемый оборот, исключение льгот по НДС, дата совершения оборота, выписка счетов-фактур, порядок отнесения в зачет НДС и др.)</w:t>
            </w:r>
          </w:p>
          <w:p w14:paraId="24F595CD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приостановка выписки ЭСФ?</w:t>
            </w:r>
          </w:p>
          <w:p w14:paraId="7C80AB24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Условия снятия с регистрационного учета плательщика НДС</w:t>
            </w:r>
          </w:p>
          <w:p w14:paraId="0AC3F32F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Ставки НДС: 0, 5,10, 16 %. Особенности. </w:t>
            </w:r>
          </w:p>
          <w:p w14:paraId="1A54FCA3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Минимальный объект по НДС = 10 000 МРП</w:t>
            </w:r>
          </w:p>
          <w:p w14:paraId="496CB349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Автоматизированный контроль по НДС - авансовые платежи по НДС</w:t>
            </w:r>
          </w:p>
          <w:p w14:paraId="6A26C897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Отклонение ЭСФ дополнительной, исправленной ЭСФ или отзыв ЭСФ</w:t>
            </w:r>
          </w:p>
          <w:p w14:paraId="6CEA3739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Приказ Министра финансов РК от 28 октября 2025 года № 629 Об утверждении Правил выписки счета-фактуры и его формы</w:t>
            </w:r>
          </w:p>
          <w:p w14:paraId="705574E6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</w:p>
          <w:p w14:paraId="19728AAD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КПН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Прозрачность и стимулирование инвестиций.  Изменения по КПН в новом Налоговом кодексе.  Дифференцированные ставки КПН: для банков и игорного бизнеса — 25 %, для образования, медицины, лизинга — 10 %, АПК — 3 % (ставки, социальная сфера, убытки, вычеты, банковский сектор, ставки, авансовые платежи, фиксированные активы, исключение льгот и др.)</w:t>
            </w:r>
          </w:p>
          <w:p w14:paraId="5A3ED0B5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Оптимизация налоговых льгот — отмена неэффективных, поддержка при новых проекта.</w:t>
            </w:r>
          </w:p>
          <w:p w14:paraId="36D9A2FF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Общая Часть:</w:t>
            </w:r>
          </w:p>
          <w:p w14:paraId="564ED20C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упрощение взаимодействия с налоговой с помощью мобильных приложений органов государственных доходов и банков: подача уведомления, выбор ОКЭД, открытие счета, выбор режима налогообложения, постановка на учет ККМ;</w:t>
            </w:r>
          </w:p>
          <w:p w14:paraId="28DD0627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блокировка счетов при наличии налоговой задолженности будет производиться только в пределах суммы задолженности (не будет блокироваться вся сумма на счете).</w:t>
            </w:r>
          </w:p>
          <w:p w14:paraId="4241E04F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предоставление налоговых привилегий (освобождение от налоговых проверок, штрафов, минимизация пени, предварительные разъяснения по планируемым сделкам, досудебная согласительная комиссия, увеличение сроков рассрочки или отсрочки, упрощенный возврат НДС до 90%);</w:t>
            </w:r>
          </w:p>
          <w:p w14:paraId="7446FDE1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по налоговой задолженности до 1600 МРП будет предоставлена возможность получения рассрочки на 12 месяцев без залогового обеспечения.</w:t>
            </w:r>
          </w:p>
          <w:p w14:paraId="62869001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введение механизма ликвидации бездействующих налогоплательщиков без решения суда и упрощенная ликвидация налогоплательщика без проверки при оборотах менее 500 млн. тг.</w:t>
            </w:r>
          </w:p>
          <w:p w14:paraId="5F4F6C86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пересмотр подходов к категорированию по СУР в зависимости от вида деятельности (категорировать налогоплательщиков внутри одной отрасли и применять меры налогового администрирования дифференцированно внутри каждого риска);</w:t>
            </w:r>
          </w:p>
          <w:p w14:paraId="05033BAE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подготовка налоговыми органами проекта налоговой отчетности за налогоплательщика (микро, малый бизнес) на основе данных ККМ и POS-терминалов;</w:t>
            </w:r>
          </w:p>
          <w:p w14:paraId="6815445F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сокращение налоговой отчетности на 30% (отмена ряда расчетов и деклараций), в том числе отмена расчета текущих платежей по налогу на имущество и земельному налогу при сумме налоговых обязательств менее 1 млн. тг. и расчетов и деклараций по налогу на транспортные средства для субъектов бизнеса.    </w:t>
            </w:r>
          </w:p>
          <w:p w14:paraId="12ECD944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реформирование спецрежимов и упразднение невостребованных спецрежимов.</w:t>
            </w:r>
          </w:p>
          <w:p w14:paraId="2357B6A2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Особенная Часть:</w:t>
            </w:r>
          </w:p>
          <w:p w14:paraId="77062FC7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авансовые платежи по КПН, есть ли изменения;</w:t>
            </w:r>
          </w:p>
          <w:p w14:paraId="4363D7B5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виды доходов, включаемых в СГД с учетом изменений;</w:t>
            </w:r>
          </w:p>
          <w:p w14:paraId="685722AD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виды вычетов, особенности их расчетов и включения в Декларацию по КПН. Новый подход;</w:t>
            </w:r>
          </w:p>
          <w:p w14:paraId="71DA4493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расходы, не идущие на вычеты, контроль со стороны налоговых органов;</w:t>
            </w:r>
          </w:p>
          <w:p w14:paraId="5D85B3A9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расчет налогооблагаемого дохода, уменьшение НОД - особенности;</w:t>
            </w:r>
          </w:p>
          <w:p w14:paraId="6D4A48C3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расчет КПН исчисленный и КПН к уплате в бюджет;</w:t>
            </w:r>
          </w:p>
          <w:p w14:paraId="55D65008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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Капитальные расходы можно будет брать на вычеты и переносить на 10 лет.</w:t>
            </w:r>
          </w:p>
          <w:p w14:paraId="19C93207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Изменения ставок КПН Основная ставка КПН - остается 20%. Повышенные ставки: </w:t>
            </w:r>
          </w:p>
          <w:p w14:paraId="5690F854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Для банков и игорных заведений: до 25%. </w:t>
            </w:r>
          </w:p>
          <w:p w14:paraId="12939ACA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Для обрабатывающей промышленности: 10%. </w:t>
            </w:r>
          </w:p>
          <w:p w14:paraId="43A5FCEB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Для сельхозпроизводителей: 3%. </w:t>
            </w:r>
          </w:p>
          <w:p w14:paraId="51E48C6D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Инвестиционные ставки: остаются без изменений.  </w:t>
            </w:r>
          </w:p>
          <w:p w14:paraId="47EC0F42">
            <w:pPr>
              <w:tabs>
                <w:tab w:val="left" w:pos="377"/>
              </w:tabs>
              <w:ind w:left="94"/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Налоги на собственность</w:t>
            </w:r>
          </w:p>
          <w:p w14:paraId="0A2625A0">
            <w:pPr>
              <w:tabs>
                <w:tab w:val="left" w:pos="377"/>
              </w:tabs>
              <w:spacing w:after="0" w:line="240" w:lineRule="auto"/>
              <w:ind w:left="94"/>
              <w:rPr>
                <w:bCs/>
              </w:rPr>
            </w:pP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Транспортный налог, земельный налог, налог на имущество. Особенности предоставление расчета 701.01 в 2026г.</w:t>
            </w:r>
          </w:p>
        </w:tc>
      </w:tr>
      <w:tr w14:paraId="4824EE61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555" w:type="dxa"/>
          </w:tcPr>
          <w:p w14:paraId="465D991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  <w:t>Формат проведения семинара и язык обучения</w:t>
            </w:r>
          </w:p>
        </w:tc>
        <w:tc>
          <w:tcPr>
            <w:tcW w:w="8647" w:type="dxa"/>
          </w:tcPr>
          <w:p w14:paraId="0FC65E8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Офлайн, 28-30 октября 2026 года в г. Астана</w:t>
            </w:r>
          </w:p>
        </w:tc>
      </w:tr>
      <w:tr w14:paraId="4DD212FD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555" w:type="dxa"/>
          </w:tcPr>
          <w:p w14:paraId="4BD9E5D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647" w:type="dxa"/>
          </w:tcPr>
          <w:p w14:paraId="01524FF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40 акад.часов. </w:t>
            </w:r>
          </w:p>
        </w:tc>
      </w:tr>
      <w:tr w14:paraId="46ACD6D4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555" w:type="dxa"/>
          </w:tcPr>
          <w:p w14:paraId="0F2F5B7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8647" w:type="dxa"/>
          </w:tcPr>
          <w:p w14:paraId="26D4A43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2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человек</w:t>
            </w:r>
          </w:p>
        </w:tc>
      </w:tr>
      <w:tr w14:paraId="78FA7B29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555" w:type="dxa"/>
          </w:tcPr>
          <w:p w14:paraId="6FBA5EB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647" w:type="dxa"/>
          </w:tcPr>
          <w:p w14:paraId="5BD0EBF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kk-KZ" w:eastAsia="ru-RU"/>
              </w:rPr>
            </w:pPr>
          </w:p>
        </w:tc>
      </w:tr>
      <w:tr w14:paraId="75A37573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1555" w:type="dxa"/>
          </w:tcPr>
          <w:p w14:paraId="2A7378C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647" w:type="dxa"/>
          </w:tcPr>
          <w:p w14:paraId="2AEDE694">
            <w:pPr>
              <w:pStyle w:val="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3D6953D8">
            <w:pPr>
              <w:pStyle w:val="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Иметь действующую до 31 декабря 2026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03B385A6">
            <w:pPr>
              <w:pStyle w:val="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191AE888">
            <w:pPr>
              <w:pStyle w:val="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Наличие свидетельства о прохождении 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институциональной аккредитации от аккредитационного органа.</w:t>
            </w:r>
          </w:p>
          <w:p w14:paraId="385757DD">
            <w:pPr>
              <w:pStyle w:val="9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rPr>
                <w:rFonts w:ascii="Times New Roman" w:hAnsi="Times New Roman" w:eastAsia="Calibri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/>
                <w:sz w:val="24"/>
                <w:szCs w:val="24"/>
              </w:rPr>
              <w:t>Приложить подтверждающий документ (копия свидетельство);</w:t>
            </w:r>
          </w:p>
          <w:p w14:paraId="79BF9E6D">
            <w:pPr>
              <w:pStyle w:val="9"/>
              <w:numPr>
                <w:ilvl w:val="0"/>
                <w:numId w:val="2"/>
              </w:num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14:paraId="3BE6B90B">
            <w:pPr>
              <w:pStyle w:val="9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>
              <w:rPr>
                <w:rFonts w:ascii="Times New Roman" w:hAnsi="Times New Roman" w:eastAsia="Calibri" w:cs="Times New Roman"/>
                <w:i/>
                <w:sz w:val="24"/>
                <w:szCs w:val="24"/>
              </w:rPr>
              <w:t>решением Координационного совета уполномоченного органа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по делам государственной службы (копию подтверждающего документа приложить);</w:t>
            </w:r>
          </w:p>
          <w:p w14:paraId="3F4E4772">
            <w:pPr>
              <w:pStyle w:val="9"/>
              <w:numPr>
                <w:ilvl w:val="0"/>
                <w:numId w:val="3"/>
              </w:num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Подтвердить опыт проведения семинаров более 15 лет;</w:t>
            </w:r>
          </w:p>
          <w:p w14:paraId="6589E1AC">
            <w:pPr>
              <w:pStyle w:val="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Наличие сертификата бизнес-тренеров данного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kk-KZ" w:eastAsia="ru-RU"/>
              </w:rPr>
              <w:t xml:space="preserve">семинара: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сертифицированный профессиональный бухгалтер, DipIFR ACCA (рус), САР, CIMA, Налоговый консультант РК 1 категорий, Практик-теоретик, член Консультативного органа МФ РК</w:t>
            </w:r>
          </w:p>
        </w:tc>
      </w:tr>
    </w:tbl>
    <w:p w14:paraId="576EC94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B29DEB3">
      <w:pPr>
        <w:pStyle w:val="6"/>
        <w:ind w:left="360" w:right="107"/>
        <w:jc w:val="both"/>
        <w:rPr>
          <w:b/>
          <w:color w:val="000000"/>
          <w:lang w:eastAsia="ru-RU"/>
        </w:rPr>
      </w:pPr>
      <w:bookmarkStart w:id="0" w:name="_Hlk170892532"/>
      <w:r>
        <w:rPr>
          <w:b/>
          <w:bCs/>
          <w:lang w:eastAsia="ru-RU"/>
        </w:rPr>
        <w:t>После вступления в силу договора по проведению семинара необходимо пре</w:t>
      </w:r>
      <w:r>
        <w:rPr>
          <w:b/>
          <w:bCs/>
          <w:lang w:val="ru-RU" w:eastAsia="ru-RU"/>
        </w:rPr>
        <w:t xml:space="preserve">крепить на портале в разделе «Подтверждающие документы» </w:t>
      </w:r>
      <w:r>
        <w:rPr>
          <w:b/>
          <w:bCs/>
          <w:lang w:eastAsia="ru-RU"/>
        </w:rPr>
        <w:t>сканированные копии всех подтверждающих документов</w:t>
      </w:r>
      <w:r>
        <w:rPr>
          <w:b/>
          <w:color w:val="000000"/>
          <w:lang w:eastAsia="ru-RU"/>
        </w:rPr>
        <w:t>:</w:t>
      </w:r>
    </w:p>
    <w:p w14:paraId="705158DC">
      <w:pPr>
        <w:pStyle w:val="6"/>
        <w:ind w:left="360" w:right="107"/>
        <w:jc w:val="both"/>
        <w:rPr>
          <w:b/>
          <w:color w:val="000000"/>
          <w:lang w:eastAsia="ru-RU"/>
        </w:rPr>
      </w:pPr>
    </w:p>
    <w:p w14:paraId="7BCAD5F9">
      <w:pPr>
        <w:pStyle w:val="6"/>
        <w:widowControl/>
        <w:numPr>
          <w:ilvl w:val="0"/>
          <w:numId w:val="4"/>
        </w:numPr>
        <w:tabs>
          <w:tab w:val="left" w:pos="426"/>
        </w:tabs>
        <w:autoSpaceDE/>
        <w:autoSpaceDN/>
        <w:ind w:left="0" w:right="107" w:firstLine="0"/>
        <w:jc w:val="both"/>
        <w:rPr>
          <w:color w:val="000000"/>
          <w:lang w:eastAsia="ru-RU"/>
        </w:rPr>
      </w:pPr>
      <w:r>
        <w:rPr>
          <w:bCs/>
          <w:lang w:val="ru-RU"/>
        </w:rPr>
        <w:t>С</w:t>
      </w:r>
      <w:r>
        <w:rPr>
          <w:bCs/>
        </w:rPr>
        <w:t>свидетельство об аккредитации, выданное Комитетом внутреннего государственного аудита при Министерстве финансов РК</w:t>
      </w:r>
      <w:r>
        <w:rPr>
          <w:color w:val="000000"/>
          <w:lang w:eastAsia="ru-RU"/>
        </w:rPr>
        <w:t>;</w:t>
      </w:r>
    </w:p>
    <w:p w14:paraId="2F7F9A95">
      <w:pPr>
        <w:pStyle w:val="6"/>
        <w:widowControl/>
        <w:numPr>
          <w:ilvl w:val="0"/>
          <w:numId w:val="4"/>
        </w:numPr>
        <w:tabs>
          <w:tab w:val="left" w:pos="426"/>
        </w:tabs>
        <w:autoSpaceDE/>
        <w:autoSpaceDN/>
        <w:ind w:left="0" w:right="107" w:firstLine="0"/>
        <w:jc w:val="both"/>
        <w:rPr>
          <w:color w:val="000000"/>
          <w:lang w:eastAsia="ru-RU"/>
        </w:rPr>
      </w:pPr>
      <w:r>
        <w:rPr>
          <w:rFonts w:eastAsia="Calibri"/>
        </w:rPr>
        <w:t>Меморандум или Соглашение с аккредитованной ПОБ</w:t>
      </w:r>
    </w:p>
    <w:p w14:paraId="4D5A19F9">
      <w:pPr>
        <w:pStyle w:val="6"/>
        <w:widowControl/>
        <w:numPr>
          <w:ilvl w:val="0"/>
          <w:numId w:val="4"/>
        </w:numPr>
        <w:tabs>
          <w:tab w:val="left" w:pos="426"/>
        </w:tabs>
        <w:autoSpaceDE/>
        <w:autoSpaceDN/>
        <w:ind w:left="0" w:right="107" w:firstLine="0"/>
        <w:jc w:val="both"/>
      </w:pPr>
      <w:r>
        <w:t>Наличие экзаменационной системы для проведения пробных и дистанционных экзаменов</w:t>
      </w:r>
    </w:p>
    <w:p w14:paraId="14A3491D">
      <w:pPr>
        <w:pStyle w:val="6"/>
        <w:widowControl/>
        <w:tabs>
          <w:tab w:val="left" w:pos="426"/>
        </w:tabs>
        <w:autoSpaceDE/>
        <w:autoSpaceDN/>
        <w:ind w:right="107"/>
        <w:jc w:val="both"/>
      </w:pPr>
      <w:r>
        <w:rPr>
          <w:lang w:val="ru-RU"/>
        </w:rPr>
        <w:t xml:space="preserve">-  Сертификат </w:t>
      </w:r>
      <w:r>
        <w:rPr>
          <w:b/>
        </w:rPr>
        <w:t>Институциональной аккредитации</w:t>
      </w:r>
      <w:r>
        <w:t xml:space="preserve"> от аккредитационного органа</w:t>
      </w:r>
    </w:p>
    <w:p w14:paraId="33788B39">
      <w:pPr>
        <w:pStyle w:val="6"/>
        <w:widowControl/>
        <w:tabs>
          <w:tab w:val="left" w:pos="426"/>
        </w:tabs>
        <w:autoSpaceDE/>
        <w:autoSpaceDN/>
        <w:ind w:right="107"/>
        <w:jc w:val="both"/>
        <w:rPr>
          <w:lang w:val="ru-RU"/>
        </w:rPr>
      </w:pPr>
      <w:r>
        <w:rPr>
          <w:lang w:val="ru-RU"/>
        </w:rPr>
        <w:t xml:space="preserve">-   Подтвердить опыт проведения семинаров более </w:t>
      </w:r>
      <w:r>
        <w:rPr>
          <w:b/>
          <w:lang w:val="ru-RU"/>
        </w:rPr>
        <w:t>15 лет.</w:t>
      </w:r>
    </w:p>
    <w:bookmarkEnd w:id="0"/>
    <w:p w14:paraId="3281E2A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zh-CN"/>
        </w:rPr>
      </w:pPr>
    </w:p>
    <w:p w14:paraId="3BE0C51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45C4E3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4305D4F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2240" w:h="15840"/>
      <w:pgMar w:top="1134" w:right="850" w:bottom="1134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86462A"/>
    <w:multiLevelType w:val="multilevel"/>
    <w:tmpl w:val="0B86462A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 w:tentative="0">
      <w:start w:val="0"/>
      <w:numFmt w:val="decimal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C564597"/>
    <w:multiLevelType w:val="multilevel"/>
    <w:tmpl w:val="1C564597"/>
    <w:lvl w:ilvl="0" w:tentative="0">
      <w:start w:val="1"/>
      <w:numFmt w:val="decimal"/>
      <w:lvlText w:val="%1)"/>
      <w:lvlJc w:val="left"/>
      <w:pPr>
        <w:ind w:left="643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C32B4"/>
    <w:multiLevelType w:val="multilevel"/>
    <w:tmpl w:val="351C32B4"/>
    <w:lvl w:ilvl="0" w:tentative="0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623A1268"/>
    <w:multiLevelType w:val="multilevel"/>
    <w:tmpl w:val="623A1268"/>
    <w:lvl w:ilvl="0" w:tentative="0">
      <w:start w:val="1"/>
      <w:numFmt w:val="decimal"/>
      <w:lvlText w:val="%1)"/>
      <w:lvlJc w:val="left"/>
      <w:pPr>
        <w:ind w:left="643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E540E"/>
    <w:rsid w:val="001227BC"/>
    <w:rsid w:val="001238A4"/>
    <w:rsid w:val="00141EA5"/>
    <w:rsid w:val="00145B79"/>
    <w:rsid w:val="00167BA9"/>
    <w:rsid w:val="001B41E7"/>
    <w:rsid w:val="001F54C5"/>
    <w:rsid w:val="002141B5"/>
    <w:rsid w:val="00232F89"/>
    <w:rsid w:val="00250022"/>
    <w:rsid w:val="00251992"/>
    <w:rsid w:val="00265158"/>
    <w:rsid w:val="002807B8"/>
    <w:rsid w:val="002E0772"/>
    <w:rsid w:val="00301F99"/>
    <w:rsid w:val="00312091"/>
    <w:rsid w:val="003129CC"/>
    <w:rsid w:val="00337361"/>
    <w:rsid w:val="003611EA"/>
    <w:rsid w:val="00364D1A"/>
    <w:rsid w:val="0037568F"/>
    <w:rsid w:val="003760AB"/>
    <w:rsid w:val="00384BEA"/>
    <w:rsid w:val="00390D57"/>
    <w:rsid w:val="003A2DF4"/>
    <w:rsid w:val="003C5D92"/>
    <w:rsid w:val="003D6733"/>
    <w:rsid w:val="003F2591"/>
    <w:rsid w:val="003F3C44"/>
    <w:rsid w:val="003F5EF7"/>
    <w:rsid w:val="00427EBA"/>
    <w:rsid w:val="004332FA"/>
    <w:rsid w:val="00434799"/>
    <w:rsid w:val="004450FE"/>
    <w:rsid w:val="00474C9E"/>
    <w:rsid w:val="004A1E6C"/>
    <w:rsid w:val="004A5DD8"/>
    <w:rsid w:val="004C1B5E"/>
    <w:rsid w:val="004C381D"/>
    <w:rsid w:val="004D4DCF"/>
    <w:rsid w:val="004F4517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56A9"/>
    <w:rsid w:val="005C20E5"/>
    <w:rsid w:val="005E3540"/>
    <w:rsid w:val="005E42E6"/>
    <w:rsid w:val="00600EDD"/>
    <w:rsid w:val="00606AE0"/>
    <w:rsid w:val="006156E4"/>
    <w:rsid w:val="00621B6F"/>
    <w:rsid w:val="00664DF9"/>
    <w:rsid w:val="006C4506"/>
    <w:rsid w:val="006F4D85"/>
    <w:rsid w:val="00711492"/>
    <w:rsid w:val="00715395"/>
    <w:rsid w:val="00736A0B"/>
    <w:rsid w:val="00752C49"/>
    <w:rsid w:val="007626C9"/>
    <w:rsid w:val="007810DE"/>
    <w:rsid w:val="00794029"/>
    <w:rsid w:val="007A247B"/>
    <w:rsid w:val="007A4E93"/>
    <w:rsid w:val="007C5D3D"/>
    <w:rsid w:val="007E11BC"/>
    <w:rsid w:val="007E3ED7"/>
    <w:rsid w:val="007E6514"/>
    <w:rsid w:val="007F661D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75082"/>
    <w:rsid w:val="00894313"/>
    <w:rsid w:val="008A5167"/>
    <w:rsid w:val="008B1C16"/>
    <w:rsid w:val="008C439E"/>
    <w:rsid w:val="008F2B4A"/>
    <w:rsid w:val="00906A31"/>
    <w:rsid w:val="00916BFA"/>
    <w:rsid w:val="00930562"/>
    <w:rsid w:val="00952C26"/>
    <w:rsid w:val="009A180D"/>
    <w:rsid w:val="009D1691"/>
    <w:rsid w:val="009D3D4D"/>
    <w:rsid w:val="009D62DB"/>
    <w:rsid w:val="009D6F2A"/>
    <w:rsid w:val="00A1214B"/>
    <w:rsid w:val="00A1510B"/>
    <w:rsid w:val="00A55752"/>
    <w:rsid w:val="00A8417E"/>
    <w:rsid w:val="00A87164"/>
    <w:rsid w:val="00AA0469"/>
    <w:rsid w:val="00AA113A"/>
    <w:rsid w:val="00AB5FEF"/>
    <w:rsid w:val="00AE0D89"/>
    <w:rsid w:val="00AF77AE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B21E8"/>
    <w:rsid w:val="00BB5C66"/>
    <w:rsid w:val="00BC05A8"/>
    <w:rsid w:val="00BD00CD"/>
    <w:rsid w:val="00BE0C25"/>
    <w:rsid w:val="00BF1159"/>
    <w:rsid w:val="00BF2311"/>
    <w:rsid w:val="00BF54C7"/>
    <w:rsid w:val="00C146E3"/>
    <w:rsid w:val="00C31EAE"/>
    <w:rsid w:val="00C67BAA"/>
    <w:rsid w:val="00C725CC"/>
    <w:rsid w:val="00CB262B"/>
    <w:rsid w:val="00CC0F16"/>
    <w:rsid w:val="00CD3B4B"/>
    <w:rsid w:val="00CD5C65"/>
    <w:rsid w:val="00D03C28"/>
    <w:rsid w:val="00D03EA5"/>
    <w:rsid w:val="00D31710"/>
    <w:rsid w:val="00D37CB8"/>
    <w:rsid w:val="00D50660"/>
    <w:rsid w:val="00DA218A"/>
    <w:rsid w:val="00DC078F"/>
    <w:rsid w:val="00DC1AFC"/>
    <w:rsid w:val="00DD7398"/>
    <w:rsid w:val="00E24B54"/>
    <w:rsid w:val="00E35AFD"/>
    <w:rsid w:val="00E7187A"/>
    <w:rsid w:val="00E84FDC"/>
    <w:rsid w:val="00E92F55"/>
    <w:rsid w:val="00ED1CE1"/>
    <w:rsid w:val="00EF69A4"/>
    <w:rsid w:val="00F37857"/>
    <w:rsid w:val="00F4095E"/>
    <w:rsid w:val="00F50CBB"/>
    <w:rsid w:val="00F531EC"/>
    <w:rsid w:val="00F53464"/>
    <w:rsid w:val="00F7612B"/>
    <w:rsid w:val="00F93CC1"/>
    <w:rsid w:val="00FD4A55"/>
    <w:rsid w:val="00FE1CF7"/>
    <w:rsid w:val="06D0409C"/>
    <w:rsid w:val="75C1487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qFormat/>
    <w:uiPriority w:val="20"/>
    <w:rPr>
      <w:i/>
      <w:iCs/>
    </w:rPr>
  </w:style>
  <w:style w:type="paragraph" w:styleId="5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Body Text"/>
    <w:basedOn w:val="1"/>
    <w:link w:val="13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zh-CN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qFormat/>
    <w:uiPriority w:val="59"/>
    <w:pPr>
      <w:widowControl w:val="0"/>
      <w:spacing w:after="0" w:line="240" w:lineRule="auto"/>
    </w:pPr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styleId="9">
    <w:name w:val="List Paragraph"/>
    <w:basedOn w:val="1"/>
    <w:link w:val="14"/>
    <w:qFormat/>
    <w:uiPriority w:val="34"/>
    <w:pPr>
      <w:ind w:left="720"/>
      <w:contextualSpacing/>
    </w:pPr>
  </w:style>
  <w:style w:type="table" w:customStyle="1" w:styleId="10">
    <w:name w:val="Таблица-сетка 1 светлая1"/>
    <w:basedOn w:val="3"/>
    <w:qFormat/>
    <w:uiPriority w:val="46"/>
    <w:pPr>
      <w:spacing w:after="0" w:line="240" w:lineRule="auto"/>
    </w:pPr>
    <w:rPr>
      <w:lang w:val="ru-RU" w:eastAsia="en-US"/>
    </w:rPr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1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ja-JP" w:bidi="ar-SA"/>
    </w:rPr>
  </w:style>
  <w:style w:type="character" w:customStyle="1" w:styleId="12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  <w:lang w:val="ru-RU" w:eastAsia="en-US"/>
    </w:rPr>
  </w:style>
  <w:style w:type="character" w:customStyle="1" w:styleId="13">
    <w:name w:val="Основной текст Знак"/>
    <w:basedOn w:val="2"/>
    <w:link w:val="6"/>
    <w:qFormat/>
    <w:uiPriority w:val="1"/>
    <w:rPr>
      <w:rFonts w:ascii="Times New Roman" w:hAnsi="Times New Roman" w:eastAsia="Times New Roman" w:cs="Times New Roman"/>
      <w:sz w:val="24"/>
      <w:szCs w:val="24"/>
      <w:lang w:val="zh-CN" w:eastAsia="en-US"/>
    </w:rPr>
  </w:style>
  <w:style w:type="character" w:customStyle="1" w:styleId="14">
    <w:name w:val="Абзац списка Знак"/>
    <w:link w:val="9"/>
    <w:qFormat/>
    <w:locked/>
    <w:uiPriority w:val="34"/>
    <w:rPr>
      <w:lang w:val="ru-RU"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CE257-F3BC-4385-855C-A4FE6B8B55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5</Pages>
  <Words>1209</Words>
  <Characters>8027</Characters>
  <Lines>65</Lines>
  <Paragraphs>18</Paragraphs>
  <TotalTime>5</TotalTime>
  <ScaleCrop>false</ScaleCrop>
  <LinksUpToDate>false</LinksUpToDate>
  <CharactersWithSpaces>9161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2026-01-16T11:21:00Z</dcterms:created>
  <dc:creator>Sabira M Komekova</dc:creator>
  <cp:lastModifiedBy>поликлиника 7 Городская</cp:lastModifiedBy>
  <cp:lastPrinted>2024-07-03T04:45:00Z</cp:lastPrinted>
  <dcterms:modified xsi:type="dcterms:W3CDTF">2026-10-22T10:15:36Z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D5C31BE34A5C417780D87F0DC626E299_13</vt:lpwstr>
  </property>
  <property fmtid="{D5CDD505-2E9C-101B-9397-08002B2CF9AE}" pid="4" name="KSOTemplateDocerSaveRecord">
    <vt:lpwstr>eyJoZGlkIjoiZDc1ZGE1ZGQwZTVlODIwOTg4NGM3YmNmNzk0M2ViNzgiLCJ1c2VySWQiOiI1MzYwMTIxMzQ5NDUzIn0=</vt:lpwstr>
  </property>
</Properties>
</file>