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21848B" w14:textId="5EC0F2D8" w:rsidR="00BE2736" w:rsidRPr="00BE2736" w:rsidRDefault="00BE2736" w:rsidP="00BE2736">
      <w:pPr>
        <w:spacing w:after="0"/>
        <w:ind w:firstLine="709"/>
        <w:jc w:val="both"/>
      </w:pPr>
    </w:p>
    <w:p w14:paraId="0BCCBDBD" w14:textId="77777777" w:rsidR="008E66EB" w:rsidRDefault="00333F43" w:rsidP="008E66EB">
      <w:pPr>
        <w:spacing w:after="0"/>
        <w:jc w:val="center"/>
        <w:rPr>
          <w:b/>
          <w:bCs/>
          <w:szCs w:val="28"/>
          <w:lang w:val="kk-KZ"/>
        </w:rPr>
      </w:pPr>
      <w:r w:rsidRPr="00333F43">
        <w:rPr>
          <w:b/>
          <w:bCs/>
          <w:szCs w:val="28"/>
        </w:rPr>
        <w:t>ТЕХНИЧЕСКАЯ</w:t>
      </w:r>
      <w:r w:rsidR="008E66EB">
        <w:rPr>
          <w:b/>
          <w:bCs/>
          <w:szCs w:val="28"/>
          <w:lang w:val="kk-KZ"/>
        </w:rPr>
        <w:t xml:space="preserve"> </w:t>
      </w:r>
      <w:r w:rsidRPr="00333F43">
        <w:rPr>
          <w:b/>
          <w:bCs/>
          <w:szCs w:val="28"/>
        </w:rPr>
        <w:t>СПЕЦИФИКАЦИЯ</w:t>
      </w:r>
      <w:r w:rsidR="008E66EB">
        <w:rPr>
          <w:b/>
          <w:bCs/>
          <w:szCs w:val="28"/>
          <w:lang w:val="kk-KZ"/>
        </w:rPr>
        <w:t xml:space="preserve">                  </w:t>
      </w:r>
    </w:p>
    <w:p w14:paraId="00DB6439" w14:textId="77777777" w:rsidR="008E66EB" w:rsidRDefault="008E66EB" w:rsidP="008E66EB">
      <w:pPr>
        <w:spacing w:after="0"/>
        <w:jc w:val="center"/>
        <w:rPr>
          <w:b/>
          <w:bCs/>
          <w:szCs w:val="28"/>
          <w:lang w:val="kk-KZ"/>
        </w:rPr>
      </w:pPr>
    </w:p>
    <w:p w14:paraId="4F275E83" w14:textId="7BA09600" w:rsidR="00333F43" w:rsidRPr="00333F43" w:rsidRDefault="008E66EB" w:rsidP="008E66EB">
      <w:pPr>
        <w:spacing w:after="0"/>
        <w:jc w:val="center"/>
        <w:rPr>
          <w:b/>
          <w:bCs/>
          <w:szCs w:val="28"/>
        </w:rPr>
      </w:pPr>
      <w:r w:rsidRPr="008E66EB">
        <w:rPr>
          <w:b/>
          <w:lang w:val="kk-KZ"/>
        </w:rPr>
        <w:t xml:space="preserve">Приобретение и установка турникета </w:t>
      </w:r>
      <w:r w:rsidR="007B38A9" w:rsidRPr="008E66EB">
        <w:rPr>
          <w:b/>
          <w:lang w:val="kk-KZ"/>
        </w:rPr>
        <w:t xml:space="preserve"> </w:t>
      </w:r>
      <w:r w:rsidRPr="008E66EB">
        <w:rPr>
          <w:b/>
          <w:lang w:val="kk-KZ"/>
        </w:rPr>
        <w:t>и</w:t>
      </w:r>
      <w:r>
        <w:rPr>
          <w:lang w:val="kk-KZ"/>
        </w:rPr>
        <w:t xml:space="preserve"> </w:t>
      </w:r>
      <w:r w:rsidR="00333F43" w:rsidRPr="00333F43">
        <w:rPr>
          <w:b/>
          <w:bCs/>
          <w:szCs w:val="28"/>
        </w:rPr>
        <w:t xml:space="preserve"> монтаж, подключение, настройку и ввод в эксплуатацию оборудования системы контроля и управления доступом (СКУД), интегрированной с программой </w:t>
      </w:r>
      <w:proofErr w:type="spellStart"/>
      <w:r w:rsidR="00333F43" w:rsidRPr="00333F43">
        <w:rPr>
          <w:b/>
          <w:bCs/>
          <w:szCs w:val="28"/>
        </w:rPr>
        <w:t>Monitoring</w:t>
      </w:r>
      <w:proofErr w:type="spellEnd"/>
      <w:r w:rsidR="00333F43" w:rsidRPr="00333F43">
        <w:rPr>
          <w:b/>
          <w:bCs/>
          <w:szCs w:val="28"/>
        </w:rPr>
        <w:t xml:space="preserve"> </w:t>
      </w:r>
      <w:proofErr w:type="spellStart"/>
      <w:r w:rsidR="00333F43" w:rsidRPr="00333F43">
        <w:rPr>
          <w:b/>
          <w:bCs/>
          <w:szCs w:val="28"/>
        </w:rPr>
        <w:t>Work</w:t>
      </w:r>
      <w:proofErr w:type="spellEnd"/>
    </w:p>
    <w:p w14:paraId="0C19B740" w14:textId="4D772333" w:rsidR="00C51627" w:rsidRPr="00C51627" w:rsidRDefault="00C51627" w:rsidP="00C51627">
      <w:pPr>
        <w:ind w:firstLine="567"/>
        <w:jc w:val="both"/>
        <w:rPr>
          <w:color w:val="000000"/>
          <w:szCs w:val="28"/>
          <w:lang w:val="kk-KZ"/>
        </w:rPr>
      </w:pPr>
      <w:r w:rsidRPr="00691774">
        <w:rPr>
          <w:rStyle w:val="ypks7kbdpwfgdykd3qb9"/>
          <w:szCs w:val="28"/>
        </w:rPr>
        <w:t>Место</w:t>
      </w:r>
      <w:r w:rsidRPr="00691774">
        <w:rPr>
          <w:szCs w:val="28"/>
        </w:rPr>
        <w:t xml:space="preserve"> </w:t>
      </w:r>
      <w:r w:rsidRPr="00691774">
        <w:rPr>
          <w:rStyle w:val="ypks7kbdpwfgdykd3qb9"/>
          <w:szCs w:val="28"/>
        </w:rPr>
        <w:t>оказания</w:t>
      </w:r>
      <w:r w:rsidRPr="00691774">
        <w:rPr>
          <w:szCs w:val="28"/>
        </w:rPr>
        <w:t xml:space="preserve"> </w:t>
      </w:r>
      <w:r w:rsidRPr="00691774">
        <w:rPr>
          <w:rStyle w:val="ypks7kbdpwfgdykd3qb9"/>
          <w:szCs w:val="28"/>
        </w:rPr>
        <w:t>услуг</w:t>
      </w:r>
      <w:r w:rsidRPr="00691774">
        <w:rPr>
          <w:szCs w:val="28"/>
        </w:rPr>
        <w:t xml:space="preserve"> </w:t>
      </w:r>
      <w:r w:rsidRPr="00691774">
        <w:rPr>
          <w:rStyle w:val="ypks7kbdpwfgdykd3qb9"/>
          <w:szCs w:val="28"/>
        </w:rPr>
        <w:t>должно</w:t>
      </w:r>
      <w:r w:rsidRPr="00691774">
        <w:rPr>
          <w:szCs w:val="28"/>
        </w:rPr>
        <w:t xml:space="preserve"> находиться в </w:t>
      </w:r>
      <w:r w:rsidRPr="00691774">
        <w:rPr>
          <w:rStyle w:val="ypks7kbdpwfgdykd3qb9"/>
          <w:szCs w:val="28"/>
        </w:rPr>
        <w:t>селе</w:t>
      </w:r>
      <w:r w:rsidRPr="00691774">
        <w:rPr>
          <w:szCs w:val="28"/>
        </w:rPr>
        <w:t xml:space="preserve"> </w:t>
      </w:r>
      <w:proofErr w:type="spellStart"/>
      <w:r w:rsidRPr="00691774">
        <w:rPr>
          <w:rStyle w:val="ypks7kbdpwfgdykd3qb9"/>
          <w:szCs w:val="28"/>
        </w:rPr>
        <w:t>Калбатау</w:t>
      </w:r>
      <w:proofErr w:type="spellEnd"/>
      <w:r w:rsidRPr="00691774">
        <w:rPr>
          <w:szCs w:val="28"/>
        </w:rPr>
        <w:t xml:space="preserve"> </w:t>
      </w:r>
      <w:proofErr w:type="spellStart"/>
      <w:r w:rsidRPr="00691774">
        <w:rPr>
          <w:rStyle w:val="ypks7kbdpwfgdykd3qb9"/>
          <w:szCs w:val="28"/>
        </w:rPr>
        <w:t>Жарминского</w:t>
      </w:r>
      <w:proofErr w:type="spellEnd"/>
      <w:r w:rsidRPr="00691774">
        <w:rPr>
          <w:szCs w:val="28"/>
        </w:rPr>
        <w:t xml:space="preserve"> </w:t>
      </w:r>
      <w:proofErr w:type="gramStart"/>
      <w:r w:rsidRPr="00691774">
        <w:rPr>
          <w:rStyle w:val="ypks7kbdpwfgdykd3qb9"/>
          <w:szCs w:val="28"/>
        </w:rPr>
        <w:t>района</w:t>
      </w:r>
      <w:r w:rsidRPr="00691774">
        <w:rPr>
          <w:szCs w:val="28"/>
        </w:rPr>
        <w:t xml:space="preserve"> </w:t>
      </w:r>
      <w:r>
        <w:rPr>
          <w:szCs w:val="28"/>
          <w:lang w:val="kk-KZ"/>
        </w:rPr>
        <w:t xml:space="preserve"> области</w:t>
      </w:r>
      <w:proofErr w:type="gramEnd"/>
      <w:r>
        <w:rPr>
          <w:szCs w:val="28"/>
          <w:lang w:val="kk-KZ"/>
        </w:rPr>
        <w:t xml:space="preserve"> </w:t>
      </w:r>
      <w:r w:rsidRPr="00691774">
        <w:rPr>
          <w:rStyle w:val="ypks7kbdpwfgdykd3qb9"/>
          <w:szCs w:val="28"/>
        </w:rPr>
        <w:t>Абай</w:t>
      </w:r>
      <w:r w:rsidR="00631BF4">
        <w:rPr>
          <w:rStyle w:val="ypks7kbdpwfgdykd3qb9"/>
          <w:szCs w:val="28"/>
          <w:lang w:val="kk-KZ"/>
        </w:rPr>
        <w:t xml:space="preserve"> улица Достык 90</w:t>
      </w:r>
    </w:p>
    <w:p w14:paraId="654F30FB" w14:textId="77777777" w:rsidR="00BE2736" w:rsidRPr="00C51627" w:rsidRDefault="00BE2736" w:rsidP="00BE2736">
      <w:pPr>
        <w:spacing w:after="0"/>
        <w:jc w:val="both"/>
        <w:rPr>
          <w:b/>
          <w:bCs/>
          <w:szCs w:val="28"/>
          <w:lang w:val="kk-KZ"/>
        </w:rPr>
      </w:pPr>
    </w:p>
    <w:p w14:paraId="75627115" w14:textId="77777777" w:rsidR="00BE2736" w:rsidRPr="00BE2736" w:rsidRDefault="00BE2736" w:rsidP="00BE2736">
      <w:pPr>
        <w:spacing w:after="0"/>
        <w:jc w:val="both"/>
      </w:pPr>
      <w:r w:rsidRPr="00BE2736">
        <w:t>Настоящая техническая спецификация определяет комплекс требований к поставке оборудования и материалов, выполнению монтажных, коммутационных, настроечных и пусконаладочных работ, необходимых для создания полностью функционирующей системы контроля и управления доступом. Поставщик обязан обеспечить комплексное выполнение обязательств с учётом фактических условий объекта, существующей инфраструктуры и технической совместимости всех применяемых компонентов. Поставляемое оборудование, комплектующие и материалы должны быть новыми, ранее не использованными, не восстановленными, не бывшими в эксплуатации, без механических повреждений и иных дефектов, влияющих на внешний вид, надёжность или функциональность. Все компоненты должны быть взаимно совместимы по электрическим, сетевым, коммуникационным и функциональным параметрам и после завершения работ функционировать как единый программно-аппаратный комплекс.</w:t>
      </w:r>
    </w:p>
    <w:p w14:paraId="5C992079" w14:textId="77777777" w:rsidR="00BE2736" w:rsidRPr="00BE2736" w:rsidRDefault="00BE2736" w:rsidP="00BE2736">
      <w:pPr>
        <w:spacing w:after="0"/>
        <w:jc w:val="both"/>
      </w:pPr>
      <w:r w:rsidRPr="00BE2736">
        <w:t>Поставщик до начала выполнения работ должен ознакомиться с фактическими условиями объекта, определить места размещения оборудования, маршруты прокладки кабельных линий, точки подключения электропитания и сетевой инфраструктуры, а также предусмотреть все необходимые технические решения для корректного функционирования комплекса. В стоимость и объём обязательств должны входить все необходимые основные и вспомогательные компоненты, соединительные элементы, крепёжные изделия, расходные материалы, кабельная продукция, коммутационные элементы и иные принадлежности, необходимые для монтажа, подключения, настройки и ввода системы в эксплуатацию в соответствии с настоящей технической спецификацией.</w:t>
      </w:r>
    </w:p>
    <w:p w14:paraId="797FA6E2" w14:textId="77777777" w:rsidR="00BE2736" w:rsidRPr="00BE2736" w:rsidRDefault="00BE2736" w:rsidP="00BE2736">
      <w:pPr>
        <w:spacing w:after="0"/>
        <w:jc w:val="both"/>
      </w:pPr>
      <w:r w:rsidRPr="00BE2736">
        <w:t>Работы должны включать поставку, доставку до объекта, разгрузку, размещение оборудования, монтаж конструкций, прокладку и коммутацию кабельных линий, подключение оборудования, настройку сетевых параметров, конфигурирование контроллера и периферийных устройств, проверку взаимодействия компонентов, проведение пусконаладочных работ и комплексное тестирование системы. После завершения работ система должна быть полностью собрана, подключена, настроена и готова к штатной эксплуатации без необходимости выполнения Заказчиком дополнительных обязательных монтажных или настроечных работ.</w:t>
      </w:r>
    </w:p>
    <w:p w14:paraId="3032B243" w14:textId="788F9678" w:rsidR="00BE2736" w:rsidRPr="00BE2736" w:rsidRDefault="00BE2736" w:rsidP="00BE2736">
      <w:pPr>
        <w:spacing w:after="0"/>
        <w:jc w:val="both"/>
      </w:pPr>
      <w:r w:rsidRPr="00BE2736">
        <w:lastRenderedPageBreak/>
        <w:t>Перила для системы контроля и управления доступом — не менее 10 погонных метров. Ограждающая конструкция должна быть предназначена для организации и направления потока людей в зоне установки системы контроля и управления доступом, ограничения возможности обхода контролируемой точки прохода и формирования единого комплекса совместно с турникетом и калиткой. Конструкция должна быть изготовлена из коррозионностойкого металлического материала, пригодного для длительной эксплуатации в местах с интенсивным потоком посетителей. Поверхность должна быть устойчивой к механическим воздействиям, истиранию, влажной уборке и применению стандартных моющих средств. Конструкция должна предусматривать вертикальные и горизонтальные элементы, опорные стойки, крепёжные элементы и фланцы для надёжного крепления к основанию пола. Все соединения должны обеспечивать необходимую механическую жёсткость и устойчивость конструкции. Острые кромки, выступающие элементы и необработанные соединения не допускаются. Высота и конфигурация ограждения определяются по фактическому месту установки с обязательным обеспечением совместимости с устанавливаемой системой контроля доступа. В комплект должны входить все необходимые соединительные, крепёжные и декоративные элементы для завершённого монтажа.</w:t>
      </w:r>
    </w:p>
    <w:p w14:paraId="22EE720F" w14:textId="77777777" w:rsidR="00BE2736" w:rsidRPr="00BE2736" w:rsidRDefault="00BE2736" w:rsidP="00BE2736">
      <w:pPr>
        <w:spacing w:after="0"/>
        <w:jc w:val="both"/>
      </w:pPr>
      <w:r w:rsidRPr="00BE2736">
        <w:t>Калитка для системы контроля доступа — 1 шт. Калитка должна предназначаться для организации дополнительного прохода в составе системы контроля и управления доступом, в том числе для прохода персонала, посетителей и организации свободного прохода при необходимости. Конструкция должна иметь прочное металлическое исполнение, устойчивое к многократному ежедневному использованию. Калитка должна конструктивно сочетаться с ограждениями зоны прохода и обеспечивать возможность стационарного крепления к основанию. Механизм открывания должен обеспечивать плавное движение створки без заклинивания, самопроизвольного открытия и чрезмерного люфта. Конструкция должна предусматривать возможность ограничения или разрешения прохода в зависимости от выбранной схемы эксплуатации объекта. Все крепёжные элементы, опорные элементы, соединительные детали и элементы, необходимые для полноценного монтажа, должны входить в комплект поставки. После установки калитка должна представлять собой завершённую конструкцию, готовую к постоянной эксплуатации.</w:t>
      </w:r>
    </w:p>
    <w:p w14:paraId="693291E0" w14:textId="01E93675" w:rsidR="00BE2736" w:rsidRPr="00BE2736" w:rsidRDefault="00BE2736" w:rsidP="00BE2736">
      <w:pPr>
        <w:spacing w:after="0"/>
        <w:jc w:val="both"/>
      </w:pPr>
      <w:r w:rsidRPr="00BE2736">
        <w:t xml:space="preserve">Пульт управления системой прохода — </w:t>
      </w:r>
      <w:r w:rsidR="00C10CCA">
        <w:rPr>
          <w:lang w:val="kk-KZ"/>
        </w:rPr>
        <w:t>2</w:t>
      </w:r>
      <w:r w:rsidRPr="00BE2736">
        <w:t xml:space="preserve"> шт. Пульт должен обеспечивать дистанционное ручное управление исполнительными устройствами системы контроля доступа с рабочего места оператора или ответственного сотрудника. Пульт должен обеспечивать возможность подачи команд управления проходом, включая разрешение прохода в предусмотренном направлении и управление состоянием подключённого исполнительного устройства. Органы управления должны иметь визуально различимые функциональные обозначения. Корпус должен обеспечивать защиту внутренних электронных компонентов при нормальной эксплуатации внутри помещения. Подключение должно осуществляться посредством проводного интерфейса, </w:t>
      </w:r>
      <w:r w:rsidRPr="00BE2736">
        <w:lastRenderedPageBreak/>
        <w:t>обеспечивающего устойчивую передачу управляющего сигнала. Пульт должен быть электрически и функционально совместим с контроллером и исполнительным оборудованием, входящими в состав создаваемой системы. В комплекте должны предусматриваться необходимые соединительные элементы для подключения и ввода оборудования в эксплуатацию.</w:t>
      </w:r>
    </w:p>
    <w:p w14:paraId="54133D1E" w14:textId="4747A118" w:rsidR="00BE2736" w:rsidRPr="00BE2736" w:rsidRDefault="00BE2736" w:rsidP="00BE2736">
      <w:pPr>
        <w:spacing w:after="0"/>
        <w:jc w:val="both"/>
      </w:pPr>
      <w:proofErr w:type="spellStart"/>
      <w:r w:rsidRPr="00BE2736">
        <w:t>PoE</w:t>
      </w:r>
      <w:proofErr w:type="spellEnd"/>
      <w:r w:rsidRPr="00BE2736">
        <w:t xml:space="preserve">-коммутатор — 1 шт. Сетевой коммутатор должен обеспечивать передачу данных между сетевыми устройствами системы контроля и управления доступом и возможность подачи электропитания совместимому оконечному оборудованию посредством технологии передачи питания по кабелю </w:t>
      </w:r>
      <w:proofErr w:type="spellStart"/>
      <w:r w:rsidRPr="00BE2736">
        <w:t>Ethernet</w:t>
      </w:r>
      <w:proofErr w:type="spellEnd"/>
      <w:r w:rsidRPr="00BE2736">
        <w:t xml:space="preserve">. Коммутатор должен иметь </w:t>
      </w:r>
      <w:proofErr w:type="spellStart"/>
      <w:r w:rsidRPr="00BE2736">
        <w:t>Ethernet</w:t>
      </w:r>
      <w:proofErr w:type="spellEnd"/>
      <w:r w:rsidRPr="00BE2736">
        <w:t xml:space="preserve">-порты с автоматическим определением параметров подключения и обеспечивать устойчивую работу оборудования в локальной вычислительной сети. Скорость передачи данных должна быть достаточной для стабильной работы подключаемых устройств системы. Оборудование должно поддерживать стандартные сетевые протоколы </w:t>
      </w:r>
      <w:proofErr w:type="spellStart"/>
      <w:r w:rsidRPr="00BE2736">
        <w:t>Ethernet</w:t>
      </w:r>
      <w:proofErr w:type="spellEnd"/>
      <w:r w:rsidRPr="00BE2736">
        <w:t xml:space="preserve">, автоматическое согласование скорости соединения и автоматическое определение типа подключения. </w:t>
      </w:r>
      <w:proofErr w:type="spellStart"/>
      <w:r w:rsidRPr="00BE2736">
        <w:t>PoE</w:t>
      </w:r>
      <w:proofErr w:type="spellEnd"/>
      <w:r w:rsidRPr="00BE2736">
        <w:t>-функция должна обеспечивать централизованное питание совместимого сетевого оборудования без необходимости прокладки отдельной линии электропитания к каждому соответствующему устройству. Коммутатор должен обеспечивать непрерывную круглосуточную эксплуатацию и иметь необходимые механизмы защиты электропитания от перегрузки и короткого замыкания в пределах предусмотренных изготовителем рабочих режимов.</w:t>
      </w:r>
    </w:p>
    <w:p w14:paraId="011C77ED" w14:textId="5C274FD5" w:rsidR="00BE2736" w:rsidRPr="00BE2736" w:rsidRDefault="00BE2736" w:rsidP="00BE2736">
      <w:pPr>
        <w:spacing w:after="0"/>
        <w:jc w:val="both"/>
      </w:pPr>
      <w:r w:rsidRPr="00BE2736">
        <w:t xml:space="preserve"> Контроллер системы контроля и управления доступом — 1 шт. Контроллер должен являться центральным аппаратным элементом управления системой доступа и обеспечивать приём информации от устройств идентификации пользователей, обработку полученных данных, управление исполнительными устройствами, регистрацию событий доступа и взаимодействие с программным обеспечением системы. Контроллер должен обеспечивать подключение считывающего оборудования, исполнительных устройств, кнопок выхода и иных необходимых периферийных компонентов в соответствии с проектной схемой. Должна обеспечиваться возможность хранения и обработки идентификационных данных и событий доступа с последующей передачей информации в программную систему. При временном нарушении сетевой связи основные функции локального управления доступом должны сохраняться в пределах функциональных возможностей оборудования. Контроллер должен поддерживать сетевое подключение и возможность настройки параметров доступа, временных интервалов, пользователей и событий. Электронная часть должна быть рассчитана на круглосуточную эксплуатацию. Поставщик обязан выполнить подключение, адресацию, настройку, программирование, проверку входов и выходов контроллера и обеспечить совместную работу со считывателем и исполнительными устройствами.</w:t>
      </w:r>
    </w:p>
    <w:p w14:paraId="3C317246" w14:textId="54C7B9C7" w:rsidR="00BE2736" w:rsidRPr="00BE2736" w:rsidRDefault="00BE2736" w:rsidP="00BE2736">
      <w:pPr>
        <w:spacing w:after="0"/>
        <w:jc w:val="both"/>
      </w:pPr>
      <w:r w:rsidRPr="00BE2736">
        <w:t xml:space="preserve">Считыватель QR-кодов — 1 шт. Устройство должно обеспечивать автоматическое оптическое считывание QR-кодов с последующей передачей полученной информации в систему контроля и управления доступом для </w:t>
      </w:r>
      <w:r w:rsidRPr="00BE2736">
        <w:lastRenderedPageBreak/>
        <w:t>идентификации и принятия решения о разрешении либо запрете прохода. Считывание должно обеспечиваться с экранов мобильных устройств, а также с печатных носителей при достаточном качестве изображения кода. Устройство должно обеспечивать быстрое распознавание предъявляемого идентификатора без необходимости непосредственного физического контакта пользователя со считывателем. Конструкция должна быть рассчитана на стационарное использование в составе системы доступа. Считыватель должен иметь интерфейс передачи данных, совместимый с применяемым контроллером либо программно-аппаратной архитектурой системы. После считывания информация должна передаваться для последующей проверки прав доступа пользователя. Оборудование должно обеспечивать устойчивую работу при многократных последовательных операциях идентификации и быть рассчитано на эксплуатацию в режиме интенсивного пользовательского потока. Поставщик должен выполнить монтаж, подключение, настройку чувствительности и параметров считывания, интеграцию с контроллером и тестирование фактического прохода.</w:t>
      </w:r>
    </w:p>
    <w:p w14:paraId="4FF9C398" w14:textId="5C73D085" w:rsidR="00BE2736" w:rsidRPr="00BE2736" w:rsidRDefault="00BE2736" w:rsidP="00BE2736">
      <w:pPr>
        <w:spacing w:after="0"/>
        <w:jc w:val="both"/>
      </w:pPr>
      <w:r w:rsidRPr="00BE2736">
        <w:t xml:space="preserve"> Установка, монтаж, подключение, настройка и ввод оборудования в эксплуатацию — 1 услуга. Работы должны выполняться комплексно и включать предварительное обследование места монтажа, определение фактических точек размещения оборудования, разметку, монтаж ограждающих конструкций и калитки, установку оборудования системы контроля доступа, прокладку необходимых кабельных линий, монтаж кабельных трасс, подключение электропитания, подключение сетевого оборудования, контроллера, QR-считывателя и пульта управления, выполнение коммутации, настройку сетевых параметров, проверку линий связи, программирование контроллера, настройку логики прохода, проверку управляющих сигналов и проведение полного комплекса пусконаладочных работ. После завершения монтажа должна быть выполнена комплексная проверка работоспособности всей системы, включая многократное тестирование разрешённого и запрещённого прохода, передачу управляющих команд, регистрацию событий и взаимодействие всех установленных компонентов. Оборудование после завершения работ должно быть полностью готово к штатной эксплуатации без необходимости приобретения Заказчиком дополнительных обязательных компонентов, необходимых для предусмотренной технической спецификацией функциональности.</w:t>
      </w:r>
    </w:p>
    <w:p w14:paraId="3BD16D32" w14:textId="26C12BAA" w:rsidR="00BE2736" w:rsidRPr="00BE2736" w:rsidRDefault="00BE2736" w:rsidP="00BE2736">
      <w:pPr>
        <w:spacing w:after="0"/>
        <w:jc w:val="both"/>
      </w:pPr>
      <w:r w:rsidRPr="00BE2736">
        <w:t xml:space="preserve">Расходные материалы — 1 комплект. Комплект должен включать расходные, монтажные, коммутационные и крепёжные материалы в количестве, необходимом для полного выполнения работ и ввода системы в эксплуатацию. В состав должны входить необходимые крепёжные изделия, анкеры, дюбели, винты, болты, гайки, шайбы, клеммы, наконечники, соединители, разъёмы, монтажные элементы, изоляционные материалы, стяжки, элементы фиксации кабельных линий и иные материалы, фактически необходимые при монтаже. Все используемые расходные материалы должны соответствовать назначению устанавливаемого оборудования, обеспечивать надёжность соединений и быть рассчитаны на длительную эксплуатацию. Применение временных </w:t>
      </w:r>
      <w:r w:rsidRPr="00BE2736">
        <w:lastRenderedPageBreak/>
        <w:t>соединений, незащищенных скруток и иных решений, снижающих надёжность системы, не допускается.</w:t>
      </w:r>
    </w:p>
    <w:p w14:paraId="6C56DBDF" w14:textId="6DE9ABD0" w:rsidR="00BE2736" w:rsidRPr="00BE2736" w:rsidRDefault="00BE2736" w:rsidP="00BE2736">
      <w:pPr>
        <w:spacing w:after="0"/>
        <w:jc w:val="both"/>
      </w:pPr>
      <w:r w:rsidRPr="00BE2736">
        <w:t>Кабель — не менее 305 погонных метров. Кабельная продукция должна быть предназначена для организации линий связи и подключения оборудования системы контроля и управления доступом. Тип кабеля должен соответствовать назначению конкретной линии и требованиям подключаемого оборудования. Кабель должен обеспечивать стабильную передачу данных и/или электропитания в пределах предусмотренной длины трассы без ухудшения работоспособности оборудования. Кабельная оболочка должна обеспечивать достаточную механическую прочность для стационарной прокладки внутри здания. Прокладка должна выполняться с соблюдением требований к радиусу изгиба, фиксации, разделению силовых и слаботочных линий и защите от механического повреждения. Все окончания кабельных линий должны быть качественно обжаты либо подключены посредством соответствующих клемм и разъёмов. После монтажа кабельные линии должны быть проверены на целостность и корректность соединения.</w:t>
      </w:r>
    </w:p>
    <w:p w14:paraId="2685E8E9" w14:textId="7A4509C8" w:rsidR="000D4751" w:rsidRPr="00397434" w:rsidRDefault="00BE2736" w:rsidP="000D4751">
      <w:r w:rsidRPr="00BE2736">
        <w:rPr>
          <w:b/>
          <w:bCs/>
        </w:rPr>
        <w:t>Общие требования к комплексу</w:t>
      </w:r>
      <w:r w:rsidRPr="00BE2736">
        <w:t>. Все перечисленные компоненты должны быть технически и функционально совместимы между собой и после монтажа образовывать единую работоспособную систему контроля и управления доступом. Поставляемое оборудование должно быть новым, ранее не использованным, не восстановленным, не находившимся в эксплуатации и не иметь механических повреждений. Поставка должна включать оборудование, комплектующие, крепления и принадлежности, необходимые для выполнения предусмотренных настоящей технической спецификацией функций. Поставщик несёт ответственность за совместимость предлагаемого оборудования. До сдачи системы должны быть выполнены монтаж, подключение, конфигурирование, программирование, пусконаладочные работы и комплексное тестирование. После выполнения работ Заказчику должна передаваться полностью функционирующая система, готовая к эксплуатации по назначению.</w:t>
      </w:r>
      <w:r w:rsidR="000D4751" w:rsidRPr="000D4751">
        <w:t xml:space="preserve"> </w:t>
      </w:r>
      <w:r w:rsidR="000D4751" w:rsidRPr="00397434">
        <w:t>А также, все выполненные работы будут приниматься согласно Акта выполненных работ, установленного образца</w:t>
      </w:r>
    </w:p>
    <w:p w14:paraId="5B3DE981" w14:textId="77777777" w:rsidR="00BE2736" w:rsidRPr="00BE2736" w:rsidRDefault="00BE2736" w:rsidP="00BE2736">
      <w:pPr>
        <w:spacing w:after="0"/>
        <w:jc w:val="both"/>
      </w:pPr>
    </w:p>
    <w:p w14:paraId="7F7F925F" w14:textId="022EB501" w:rsidR="00F12C76" w:rsidRDefault="00594475" w:rsidP="006C0B77">
      <w:pPr>
        <w:spacing w:after="0"/>
        <w:ind w:firstLine="709"/>
        <w:jc w:val="both"/>
        <w:rPr>
          <w:lang w:val="kk-KZ"/>
        </w:rPr>
      </w:pPr>
      <w:r>
        <w:rPr>
          <w:lang w:val="kk-KZ"/>
        </w:rPr>
        <w:t xml:space="preserve">Металлоискатель -1 шт </w:t>
      </w:r>
    </w:p>
    <w:p w14:paraId="54E291B2" w14:textId="0B141B27" w:rsidR="00594475" w:rsidRDefault="00594475" w:rsidP="006C0B77">
      <w:pPr>
        <w:spacing w:after="0"/>
        <w:ind w:firstLine="709"/>
        <w:jc w:val="both"/>
        <w:rPr>
          <w:lang w:val="kk-KZ"/>
        </w:rPr>
      </w:pPr>
      <w:r>
        <w:rPr>
          <w:lang w:val="kk-KZ"/>
        </w:rPr>
        <w:t xml:space="preserve">Турникет </w:t>
      </w:r>
      <w:proofErr w:type="spellStart"/>
      <w:r>
        <w:rPr>
          <w:lang w:val="en-US"/>
        </w:rPr>
        <w:t>ZKTeco</w:t>
      </w:r>
      <w:proofErr w:type="spellEnd"/>
      <w:r w:rsidRPr="00631BF4">
        <w:t xml:space="preserve"> </w:t>
      </w:r>
      <w:proofErr w:type="spellStart"/>
      <w:r>
        <w:rPr>
          <w:lang w:val="en-US"/>
        </w:rPr>
        <w:t>Ts</w:t>
      </w:r>
      <w:proofErr w:type="spellEnd"/>
      <w:r w:rsidRPr="00631BF4">
        <w:t xml:space="preserve"> 1000 </w:t>
      </w:r>
      <w:r>
        <w:rPr>
          <w:lang w:val="en-US"/>
        </w:rPr>
        <w:t>plus</w:t>
      </w:r>
      <w:r w:rsidRPr="00631BF4">
        <w:t>-1</w:t>
      </w:r>
      <w:r>
        <w:rPr>
          <w:lang w:val="kk-KZ"/>
        </w:rPr>
        <w:t xml:space="preserve">шт </w:t>
      </w:r>
    </w:p>
    <w:p w14:paraId="1D6255B3" w14:textId="36D296B1" w:rsidR="00594475" w:rsidRDefault="00594475" w:rsidP="006C0B77">
      <w:pPr>
        <w:spacing w:after="0"/>
        <w:ind w:firstLine="709"/>
        <w:jc w:val="both"/>
        <w:rPr>
          <w:lang w:val="kk-KZ"/>
        </w:rPr>
      </w:pPr>
      <w:r>
        <w:rPr>
          <w:lang w:val="kk-KZ"/>
        </w:rPr>
        <w:t xml:space="preserve">Контроллер-1 шт </w:t>
      </w:r>
    </w:p>
    <w:p w14:paraId="47EBE722" w14:textId="4F137208" w:rsidR="00594475" w:rsidRDefault="00594475" w:rsidP="006C0B77">
      <w:pPr>
        <w:spacing w:after="0"/>
        <w:ind w:firstLine="709"/>
        <w:jc w:val="both"/>
        <w:rPr>
          <w:lang w:val="kk-KZ"/>
        </w:rPr>
      </w:pPr>
      <w:r>
        <w:rPr>
          <w:lang w:val="kk-KZ"/>
        </w:rPr>
        <w:t xml:space="preserve">Считыватель-1 шт </w:t>
      </w:r>
    </w:p>
    <w:p w14:paraId="380A6E94" w14:textId="583C8E72" w:rsidR="00594475" w:rsidRDefault="00594475" w:rsidP="006C0B77">
      <w:pPr>
        <w:spacing w:after="0"/>
        <w:ind w:firstLine="709"/>
        <w:jc w:val="both"/>
        <w:rPr>
          <w:lang w:val="kk-KZ"/>
        </w:rPr>
      </w:pPr>
      <w:r>
        <w:rPr>
          <w:lang w:val="kk-KZ"/>
        </w:rPr>
        <w:t>Пульт управления -2 шт</w:t>
      </w:r>
    </w:p>
    <w:p w14:paraId="2631A121" w14:textId="713D1B65" w:rsidR="00594475" w:rsidRDefault="00594475" w:rsidP="006C0B77">
      <w:pPr>
        <w:spacing w:after="0"/>
        <w:ind w:firstLine="709"/>
        <w:jc w:val="both"/>
        <w:rPr>
          <w:lang w:val="kk-KZ"/>
        </w:rPr>
      </w:pPr>
      <w:r>
        <w:rPr>
          <w:lang w:val="kk-KZ"/>
        </w:rPr>
        <w:t xml:space="preserve">Карточка-10 шт </w:t>
      </w:r>
    </w:p>
    <w:p w14:paraId="5050D545" w14:textId="4812A157" w:rsidR="00C51627" w:rsidRDefault="00C51627" w:rsidP="006C0B77">
      <w:pPr>
        <w:spacing w:after="0"/>
        <w:ind w:firstLine="709"/>
        <w:jc w:val="both"/>
        <w:rPr>
          <w:lang w:val="kk-KZ"/>
        </w:rPr>
      </w:pPr>
    </w:p>
    <w:p w14:paraId="0DC46851" w14:textId="42E29982" w:rsidR="00C51627" w:rsidRDefault="00C51627" w:rsidP="006C0B77">
      <w:pPr>
        <w:spacing w:after="0"/>
        <w:ind w:firstLine="709"/>
        <w:jc w:val="both"/>
        <w:rPr>
          <w:lang w:val="kk-KZ"/>
        </w:rPr>
      </w:pPr>
    </w:p>
    <w:p w14:paraId="0A27DEE8" w14:textId="369F131E" w:rsidR="00C51627" w:rsidRDefault="00C51627" w:rsidP="006C0B77">
      <w:pPr>
        <w:spacing w:after="0"/>
        <w:ind w:firstLine="709"/>
        <w:jc w:val="both"/>
        <w:rPr>
          <w:lang w:val="kk-KZ"/>
        </w:rPr>
      </w:pPr>
    </w:p>
    <w:p w14:paraId="0FAD3F84" w14:textId="046A67B9" w:rsidR="00C51627" w:rsidRDefault="00C51627" w:rsidP="006C0B77">
      <w:pPr>
        <w:spacing w:after="0"/>
        <w:ind w:firstLine="709"/>
        <w:jc w:val="both"/>
        <w:rPr>
          <w:lang w:val="kk-KZ"/>
        </w:rPr>
      </w:pPr>
    </w:p>
    <w:p w14:paraId="0119E39A" w14:textId="593D31AF" w:rsidR="00C51627" w:rsidRDefault="00C51627" w:rsidP="006C0B77">
      <w:pPr>
        <w:spacing w:after="0"/>
        <w:ind w:firstLine="709"/>
        <w:jc w:val="both"/>
        <w:rPr>
          <w:lang w:val="kk-KZ"/>
        </w:rPr>
      </w:pPr>
    </w:p>
    <w:p w14:paraId="1BA7DCE5" w14:textId="11D205BA" w:rsidR="00C51627" w:rsidRDefault="00C51627" w:rsidP="006C0B77">
      <w:pPr>
        <w:spacing w:after="0"/>
        <w:ind w:firstLine="709"/>
        <w:jc w:val="both"/>
        <w:rPr>
          <w:lang w:val="kk-KZ"/>
        </w:rPr>
      </w:pPr>
    </w:p>
    <w:p w14:paraId="41325D74" w14:textId="4437FD69" w:rsidR="00C51627" w:rsidRDefault="00C51627" w:rsidP="006C0B77">
      <w:pPr>
        <w:spacing w:after="0"/>
        <w:ind w:firstLine="709"/>
        <w:jc w:val="both"/>
        <w:rPr>
          <w:lang w:val="kk-KZ"/>
        </w:rPr>
      </w:pPr>
    </w:p>
    <w:p w14:paraId="33018FEB" w14:textId="77777777" w:rsidR="00C51627" w:rsidRPr="00594475" w:rsidRDefault="00C51627" w:rsidP="006C0B77">
      <w:pPr>
        <w:spacing w:after="0"/>
        <w:ind w:firstLine="709"/>
        <w:jc w:val="both"/>
        <w:rPr>
          <w:lang w:val="kk-KZ"/>
        </w:rPr>
      </w:pPr>
    </w:p>
    <w:p w14:paraId="56CAD7DD" w14:textId="77777777" w:rsidR="00BE2736" w:rsidRPr="00631BF4" w:rsidRDefault="00BE2736" w:rsidP="006C0B77">
      <w:pPr>
        <w:spacing w:after="0"/>
        <w:ind w:firstLine="709"/>
        <w:jc w:val="both"/>
        <w:rPr>
          <w:lang w:val="kk-KZ"/>
        </w:rPr>
      </w:pPr>
    </w:p>
    <w:p w14:paraId="65489CAE" w14:textId="7D65F53F" w:rsidR="00333F43" w:rsidRPr="0063294D" w:rsidRDefault="00333F43" w:rsidP="00333F43">
      <w:pPr>
        <w:spacing w:after="0"/>
        <w:ind w:firstLine="709"/>
        <w:jc w:val="both"/>
        <w:rPr>
          <w:b/>
          <w:bCs/>
          <w:lang w:val="kk-KZ"/>
        </w:rPr>
      </w:pPr>
      <w:r>
        <w:rPr>
          <w:b/>
          <w:bCs/>
          <w:lang w:val="kk-KZ"/>
        </w:rPr>
        <w:t xml:space="preserve">                     </w:t>
      </w:r>
      <w:r w:rsidRPr="0063294D">
        <w:rPr>
          <w:b/>
          <w:bCs/>
          <w:lang w:val="kk-KZ"/>
        </w:rPr>
        <w:t>ТЕХНИКАЛЫҚ ЕРЕКШЕЛІК</w:t>
      </w:r>
    </w:p>
    <w:p w14:paraId="2DAFAC3C" w14:textId="77777777" w:rsidR="00333F43" w:rsidRPr="0063294D" w:rsidRDefault="00333F43" w:rsidP="00333F43">
      <w:pPr>
        <w:spacing w:after="0"/>
        <w:ind w:firstLine="709"/>
        <w:jc w:val="both"/>
        <w:rPr>
          <w:b/>
          <w:bCs/>
          <w:lang w:val="kk-KZ"/>
        </w:rPr>
      </w:pPr>
      <w:r w:rsidRPr="0063294D">
        <w:rPr>
          <w:b/>
          <w:bCs/>
          <w:lang w:val="kk-KZ"/>
        </w:rPr>
        <w:t>Monitoring Work бағдарламасымен интеграцияланған қол жеткізуді бақылау және басқару жүйесінің (ҚББЖ) жабдықтарын жеткізуге, монтаждауға, қосуға, баптауға және пайдалануға беруге</w:t>
      </w:r>
    </w:p>
    <w:p w14:paraId="1FF69D3E" w14:textId="5F4EF814" w:rsidR="00BE2736" w:rsidRPr="0063294D" w:rsidRDefault="00C51627" w:rsidP="00C51627">
      <w:pPr>
        <w:spacing w:after="0"/>
        <w:ind w:firstLine="709"/>
        <w:jc w:val="both"/>
        <w:rPr>
          <w:lang w:val="kk-KZ"/>
        </w:rPr>
      </w:pPr>
      <w:r w:rsidRPr="00691774">
        <w:rPr>
          <w:color w:val="202124"/>
          <w:szCs w:val="28"/>
          <w:lang w:val="kk-KZ"/>
        </w:rPr>
        <w:t>Қызмет көрсету орыны Абай облысы, Жарма ауданы Қалбатау ауылында</w:t>
      </w:r>
      <w:r>
        <w:rPr>
          <w:color w:val="202124"/>
          <w:szCs w:val="28"/>
          <w:lang w:val="kk-KZ"/>
        </w:rPr>
        <w:t xml:space="preserve"> Достык 9</w:t>
      </w:r>
      <w:r w:rsidR="00631BF4">
        <w:rPr>
          <w:color w:val="202124"/>
          <w:szCs w:val="28"/>
          <w:lang w:val="kk-KZ"/>
        </w:rPr>
        <w:t>0</w:t>
      </w:r>
      <w:bookmarkStart w:id="0" w:name="_GoBack"/>
      <w:bookmarkEnd w:id="0"/>
      <w:r>
        <w:rPr>
          <w:color w:val="202124"/>
          <w:szCs w:val="28"/>
          <w:lang w:val="kk-KZ"/>
        </w:rPr>
        <w:t xml:space="preserve"> </w:t>
      </w:r>
    </w:p>
    <w:p w14:paraId="26DBDCEC" w14:textId="77777777" w:rsidR="00BE2736" w:rsidRPr="0063294D" w:rsidRDefault="00BE2736" w:rsidP="00BE2736">
      <w:pPr>
        <w:spacing w:after="0"/>
        <w:ind w:firstLine="709"/>
        <w:jc w:val="both"/>
        <w:rPr>
          <w:lang w:val="kk-KZ"/>
        </w:rPr>
      </w:pPr>
      <w:r w:rsidRPr="0063294D">
        <w:rPr>
          <w:lang w:val="kk-KZ"/>
        </w:rPr>
        <w:t>Осы техникалық ерекшелік толық жұмыс істейтін қол жеткізуді бақылау және басқару жүйесін құру үшін қажетті жабдықтар мен материалдарды жеткізуге, монтаждау, коммутациялау, баптау және іске қосу-баптау жұмыстарын орындауға қойылатын талаптар кешенін айқындайды. Жеткізуші объектінің нақты жағдайларын, қолданыстағы инфрақұрылымды және қолданылатын барлық компоненттердің техникалық үйлесімділігін ескере отырып, міндеттемелердің кешенді орындалуын қамтамасыз етуге міндетті. Жеткізілетін жабдықтар, жинақтаушы бөлшектер мен материалдар жаңа, бұрын пайдаланылмаған, қалпына келтірілмеген, қолданыста болмаған, сыртқы түріне, сенімділігіне немесе функционалдығына әсер ететін механикалық зақымдары және өзге де ақаулары жоқ болуы тиіс. Барлық компоненттер электрлік, желілік, коммуникациялық және функционалдық параметрлері бойынша өзара үйлесімді болуы және жұмыстар аяқталғаннан кейін бірыңғай бағдарламалық-аппараттық кешен ретінде жұмыс істеуі тиіс.</w:t>
      </w:r>
    </w:p>
    <w:p w14:paraId="5BB70500" w14:textId="77777777" w:rsidR="00BE2736" w:rsidRPr="0063294D" w:rsidRDefault="00BE2736" w:rsidP="00BE2736">
      <w:pPr>
        <w:spacing w:after="0"/>
        <w:ind w:firstLine="709"/>
        <w:jc w:val="both"/>
        <w:rPr>
          <w:lang w:val="kk-KZ"/>
        </w:rPr>
      </w:pPr>
      <w:r w:rsidRPr="0063294D">
        <w:rPr>
          <w:lang w:val="kk-KZ"/>
        </w:rPr>
        <w:t>Жеткізуші жұмыстарды орындауды бастамас бұрын объектінің нақты жағдайларымен танысуы, жабдықтарды орналастыру орындарын, кабельдік желілерді төсеу бағыттарын, электрмен қоректендіру және желілік инфрақұрылымға қосылу нүктелерін айқындауы, сондай-ақ кешеннің дұрыс жұмыс істеуі үшін барлық қажетті техникалық шешімдерді қарастыруы тиіс. Құны мен міндеттемелер көлеміне осы техникалық ерекшелікке сәйкес жүйені монтаждау, қосу, баптау және пайдалануға беру үшін қажетті барлық негізгі және қосалқы компоненттер, жалғау элементтері, бекіту бұйымдары, шығыс материалдары, кабельдік өнімдер, коммутациялық элементтер және өзге де керек-жарақтар кіруі тиіс.</w:t>
      </w:r>
    </w:p>
    <w:p w14:paraId="1747C4D8" w14:textId="77777777" w:rsidR="00BE2736" w:rsidRPr="0063294D" w:rsidRDefault="00BE2736" w:rsidP="00BE2736">
      <w:pPr>
        <w:spacing w:after="0"/>
        <w:ind w:firstLine="709"/>
        <w:jc w:val="both"/>
        <w:rPr>
          <w:lang w:val="kk-KZ"/>
        </w:rPr>
      </w:pPr>
      <w:r w:rsidRPr="0063294D">
        <w:rPr>
          <w:lang w:val="kk-KZ"/>
        </w:rPr>
        <w:t>Жұмыстар жеткізуді, объектіге дейін тасымалдауды, түсіруді, жабдықтарды орналастыруды, конструкцияларды монтаждауды, кабельдік желілерді төсеу мен коммутациялауды, жабдықтарды қосуды, желілік параметрлерді баптауды, контроллер мен перифериялық құрылғыларды конфигурациялауды, компоненттердің өзара әрекеттесуін тексеруді, іске қосу-баптау жұмыстарын жүргізуді және жүйені кешенді тестілеуді қамтуы тиіс. Жұмыстар аяқталғаннан кейін жүйе толық жиналған, қосылған, бапталған және Тапсырыс берушінің қосымша міндетті монтаждау немесе баптау жұмыстарын орындауын қажет етпей, штаттық пайдалануға дайын болуы тиіс.</w:t>
      </w:r>
    </w:p>
    <w:p w14:paraId="37573EE7" w14:textId="77777777" w:rsidR="00BE2736" w:rsidRPr="0063294D" w:rsidRDefault="00BE2736" w:rsidP="00BE2736">
      <w:pPr>
        <w:spacing w:after="0"/>
        <w:ind w:firstLine="709"/>
        <w:jc w:val="both"/>
        <w:rPr>
          <w:lang w:val="kk-KZ"/>
        </w:rPr>
      </w:pPr>
      <w:r w:rsidRPr="0063294D">
        <w:rPr>
          <w:lang w:val="kk-KZ"/>
        </w:rPr>
        <w:t xml:space="preserve">Қол жеткізуді бақылау және басқару жүйесіне арналған қоршау — кемінде 10 погондық метр. Қоршау конструкциясы қол жеткізуді бақылау және </w:t>
      </w:r>
      <w:r w:rsidRPr="0063294D">
        <w:rPr>
          <w:lang w:val="kk-KZ"/>
        </w:rPr>
        <w:lastRenderedPageBreak/>
        <w:t>басқару жүйесі орнатылған аймақта адамдар ағынын ұйымдастыруға және бағыттауға, бақыланатын өту нүктесін айналып өту мүмкіндігін шектеуге және турникет пен калиткамен бірге бірыңғай кешен қалыптастыруға арналған болуы тиіс. Конструкция келушілер ағыны қарқынды орындарда ұзақ мерзімді пайдалануға жарамды, коррозияға төзімді металл материалдан жасалуы тиіс. Беті механикалық әсерлерге, қажалуға, ылғалды тазалауға және стандартты жуу құралдарын қолдануға төзімді болуы тиіс. Конструкцияда тік және көлденең элементтер, тірек бағаналары, бекіту элементтері және еден негізіне сенімді бекітуге арналған фланецтер қарастырылуы тиіс. Барлық қосылыстар конструкцияның қажетті механикалық қаттылығы мен орнықтылығын қамтамасыз етуі тиіс. Өткір жиектерге, шығыңқы элементтерге және өңделмеген қосылыстарға жол берілмейді. Қоршаудың биіктігі мен конфигурациясы орнатылатын қол жеткізуді бақылау жүйесімен міндетті үйлесімділікті қамтамасыз ете отырып, нақты орнату орны бойынша анықталады. Жиынтыққа аяқталған монтаж үшін қажетті барлық жалғау, бекіту және сәндік элементтер кіруі тиіс.</w:t>
      </w:r>
    </w:p>
    <w:p w14:paraId="2914F2BF" w14:textId="77777777" w:rsidR="00BE2736" w:rsidRPr="0063294D" w:rsidRDefault="00BE2736" w:rsidP="00BE2736">
      <w:pPr>
        <w:spacing w:after="0"/>
        <w:ind w:firstLine="709"/>
        <w:jc w:val="both"/>
        <w:rPr>
          <w:lang w:val="kk-KZ"/>
        </w:rPr>
      </w:pPr>
      <w:r w:rsidRPr="0063294D">
        <w:rPr>
          <w:lang w:val="kk-KZ"/>
        </w:rPr>
        <w:t>Қол жеткізуді бақылау жүйесіне арналған калитка — 1 дана. Калитка қол жеткізуді бақылау және басқару жүйесінің құрамында қосымша өтуді ұйымдастыруға, оның ішінде персоналдың, келушілердің өтуіне және қажет болған жағдайда еркін өтуді ұйымдастыруға арналған болуы тиіс. Конструкция күнделікті көп рет пайдалануға төзімді, берік металл орындалымда болуы тиіс. Калитка өту аймағының қоршауларымен конструкциялық тұрғыдан үйлесуі және негізге стационарлық бекіту мүмкіндігін қамтамасыз етуі тиіс. Ашу механизмі створканың кептелусіз, өздігінен ашылусыз және шамадан тыс люфтсіз бірқалыпты қозғалуын қамтамасыз етуі тиіс. Конструкция объектіні пайдаланудың таңдалған схемасына байланысты өтуді шектеу немесе рұқсат ету мүмкіндігін қарастыруы тиіс. Толыққанды монтаждау үшін қажетті барлық бекіту элементтері, тірек элементтері, жалғау бөлшектері мен элементтер жеткізу жиынтығына кіруі тиіс. Орнатылғаннан кейін калитка тұрақты пайдалануға дайын аяқталған конструкция болуы тиіс.</w:t>
      </w:r>
    </w:p>
    <w:p w14:paraId="23B14029" w14:textId="570D1FBA" w:rsidR="00BE2736" w:rsidRPr="0063294D" w:rsidRDefault="00BE2736" w:rsidP="00BE2736">
      <w:pPr>
        <w:spacing w:after="0"/>
        <w:ind w:firstLine="709"/>
        <w:jc w:val="both"/>
        <w:rPr>
          <w:lang w:val="kk-KZ"/>
        </w:rPr>
      </w:pPr>
      <w:r w:rsidRPr="0063294D">
        <w:rPr>
          <w:lang w:val="kk-KZ"/>
        </w:rPr>
        <w:t xml:space="preserve">Өту жүйесін басқару пульті — </w:t>
      </w:r>
      <w:r w:rsidR="00594475">
        <w:rPr>
          <w:lang w:val="kk-KZ"/>
        </w:rPr>
        <w:t>2</w:t>
      </w:r>
      <w:r w:rsidRPr="0063294D">
        <w:rPr>
          <w:lang w:val="kk-KZ"/>
        </w:rPr>
        <w:t xml:space="preserve"> дана. Пульт оператордың немесе жауапты қызметкердің жұмыс орнынан қол жеткізуді бақылау жүйесінің атқарушы құрылғыларын қашықтан қолмен басқаруды қамтамасыз етуі тиіс. Пульт қарастырылған бағытта өтуге рұқсат беруді және қосылған атқарушы құрылғының күйін басқаруды қоса алғанда, өтуді басқару командаларын беру мүмкіндігін қамтамасыз етуі тиіс. Басқару органдарында көзбен ажыратылатын функционалдық белгілер болуы тиіс. Корпус үй-жай ішінде қалыпты пайдалану кезінде ішкі электрондық компоненттердің қорғалуын қамтамасыз етуі тиіс. Қосылу басқару сигналының тұрақты берілуін қамтамасыз ететін сымды интерфейс арқылы жүзеге асырылуы тиіс. Пульт құрылып жатқан жүйенің құрамына кіретін контроллермен және атқарушы жабдықпен электрлік және функционалдық тұрғыдан үйлесімді болуы тиіс. Жиынтықта жабдықты қосу және пайдалануға беру үшін қажетті жалғау элементтері қарастырылуы тиіс.</w:t>
      </w:r>
    </w:p>
    <w:p w14:paraId="61F73644" w14:textId="77777777" w:rsidR="00BE2736" w:rsidRPr="0063294D" w:rsidRDefault="00BE2736" w:rsidP="00BE2736">
      <w:pPr>
        <w:spacing w:after="0"/>
        <w:ind w:firstLine="709"/>
        <w:jc w:val="both"/>
        <w:rPr>
          <w:lang w:val="kk-KZ"/>
        </w:rPr>
      </w:pPr>
      <w:r w:rsidRPr="0063294D">
        <w:rPr>
          <w:lang w:val="kk-KZ"/>
        </w:rPr>
        <w:lastRenderedPageBreak/>
        <w:t>PoE-коммутатор — 1 дана. Желілік коммутатор қол жеткізуді бақылау және басқару жүйесінің желілік құрылғылары арасында деректерді беруді және Ethernet кабелі арқылы қоректендіру технологиясының көмегімен үйлесімді соңғы жабдыққа электр қорегін беру мүмкіндігін қамтамасыз етуі тиіс. Коммутаторда қосылу параметрлерін автоматты түрде анықтайтын Ethernet-порттар болуы және жергілікті есептеу желісінде жабдықтың тұрақты жұмысын қамтамасыз етуі тиіс. Деректерді беру жылдамдығы жүйеге қосылатын құрылғылардың тұрақты жұмыс істеуі үшін жеткілікті болуы тиіс. Жабдық стандартты Ethernet желілік хаттамаларын, қосылу жылдамдығын автоматты келісуді және қосылу түрін автоматты анықтауды қолдауы тиіс. PoE функциясы әрбір тиісті құрылғыға жеке электр қорегі желісін тартуды қажет етпей, үйлесімді желілік жабдықты орталықтандырылған қоректендіруді қамтамасыз етуі тиіс. Коммутатор үздіксіз тәулік бойы пайдалануды қамтамасыз етуі және өндіруші қарастырған жұмыс режимдері шегінде электр қорегін шамадан тыс жүктемеден және қысқа тұйықталудан қорғаудың қажетті тетіктеріне ие болуы тиіс.</w:t>
      </w:r>
    </w:p>
    <w:p w14:paraId="63E9B295" w14:textId="77777777" w:rsidR="00BE2736" w:rsidRPr="0063294D" w:rsidRDefault="00BE2736" w:rsidP="00BE2736">
      <w:pPr>
        <w:spacing w:after="0"/>
        <w:ind w:firstLine="709"/>
        <w:jc w:val="both"/>
        <w:rPr>
          <w:lang w:val="kk-KZ"/>
        </w:rPr>
      </w:pPr>
      <w:r w:rsidRPr="0063294D">
        <w:rPr>
          <w:lang w:val="kk-KZ"/>
        </w:rPr>
        <w:t>Қол жеткізуді бақылау және басқару жүйесінің контроллері — 1 дана. Контроллер қол жеткізу жүйесін басқарудың орталық аппараттық элементі болуы және пайдаланушыларды сәйкестендіру құрылғыларынан ақпаратты қабылдауды, алынған деректерді өңдеуді, атқарушы құрылғыларды басқаруды, қол жеткізу оқиғаларын тіркеуді және жүйенің бағдарламалық қамтамасыз етуімен өзара әрекеттесуді қамтамасыз етуі тиіс. Контроллер жобалық схемаға сәйкес оқу жабдығын, атқарушы құрылғыларды, шығу батырмаларын және өзге де қажетті перифериялық компоненттерді қосуды қамтамасыз етуі тиіс. Сәйкестендіру деректері мен қол жеткізу оқиғаларын кейіннен ақпаратты бағдарламалық жүйеге бере отырып сақтау және өңдеу мүмкіндігі қамтамасыз етілуі тиіс. Желілік байланыс уақытша бұзылған кезде қол жеткізуді жергілікті басқарудың негізгі функциялары жабдықтың функционалдық мүмкіндіктері шегінде сақталуы тиіс. Контроллер желілік қосылуды және қол жеткізу параметрлерін, уақыт аралықтарын, пайдаланушылар мен оқиғаларды баптау мүмкіндігін қолдауы тиіс. Электрондық бөлігі тәулік бойы пайдалануға есептелуі тиіс. Жеткізуші контроллерді қосуды, адрестеуді, баптауды, бағдарламалауды, кірістері мен шығыстарын тексеруді орындауға және считывательмен және атқарушы құрылғылармен бірлескен жұмысын қамтамасыз етуге міндетті.</w:t>
      </w:r>
    </w:p>
    <w:p w14:paraId="1774DCD7" w14:textId="77777777" w:rsidR="00BE2736" w:rsidRPr="0063294D" w:rsidRDefault="00BE2736" w:rsidP="00BE2736">
      <w:pPr>
        <w:spacing w:after="0"/>
        <w:ind w:firstLine="709"/>
        <w:jc w:val="both"/>
        <w:rPr>
          <w:lang w:val="kk-KZ"/>
        </w:rPr>
      </w:pPr>
      <w:r w:rsidRPr="0063294D">
        <w:rPr>
          <w:lang w:val="kk-KZ"/>
        </w:rPr>
        <w:t xml:space="preserve">QR-кодтарды считыватель — 1 дана. Құрылғы QR-кодтарды автоматты оптикалық считывание жасап, кейін алынған ақпаратты пайдаланушыны сәйкестендіру және өтуге рұқсат беру немесе тыйым салу туралы шешім қабылдау үшін қол жеткізуді бақылау және басқару жүйесіне беруді қамтамасыз етуі тиіс. Считывание мобильді құрылғылардың экрандарынан, сондай-ақ код кескінінің сапасы жеткілікті болған жағдайда баспа тасымалдағыштардан қамтамасыз етілуі тиіс. Құрылғы пайдаланушының считывательмен тікелей физикалық жанасуын қажет етпей, ұсынылған идентификаторды жылдам тануды қамтамасыз етуі тиіс. Конструкция қол жеткізу жүйесінің құрамында стационарлық пайдалануға есептелуі тиіс. </w:t>
      </w:r>
      <w:r w:rsidRPr="0063294D">
        <w:rPr>
          <w:lang w:val="kk-KZ"/>
        </w:rPr>
        <w:lastRenderedPageBreak/>
        <w:t>Считыватель қолданылатын контроллермен немесе жүйенің бағдарламалық-аппараттық архитектурасымен үйлесімді деректерді беру интерфейсіне ие болуы тиіс. Считывание жасалғаннан кейін ақпарат пайдаланушының қол жеткізу құқықтарын кейіннен тексеру үшін берілуі тиіс. Жабдық бірнеше рет қатарынан сәйкестендіру операциялары кезінде тұрақты жұмысты қамтамасыз етуі және пайдаланушылар ағыны қарқынды режимде пайдалануға есептелуі тиіс. Жеткізуші монтаждауды, қосуды, считывание сезімталдығы мен параметрлерін баптауды, контроллермен интеграциялауды және нақты өтуді тестілеуді орындауы тиіс.</w:t>
      </w:r>
    </w:p>
    <w:p w14:paraId="7948EE5B" w14:textId="77777777" w:rsidR="00BE2736" w:rsidRPr="0063294D" w:rsidRDefault="00BE2736" w:rsidP="00BE2736">
      <w:pPr>
        <w:spacing w:after="0"/>
        <w:ind w:firstLine="709"/>
        <w:jc w:val="both"/>
        <w:rPr>
          <w:lang w:val="kk-KZ"/>
        </w:rPr>
      </w:pPr>
      <w:r w:rsidRPr="0063294D">
        <w:rPr>
          <w:lang w:val="kk-KZ"/>
        </w:rPr>
        <w:t>Жабдықты орнату, монтаждау, қосу, баптау және пайдалануға беру — 1 қызмет. Жұмыстар кешенді түрде орындалуы және монтаж орнын алдын ала тексеруді, жабдықты орналастырудың нақты нүктелерін анықтауды, белгілеуді, қоршау конструкциялары мен калитканы монтаждауды, қол жеткізуді бақылау жүйесінің жабдықтарын орнатуды, қажетті кабельдік желілерді төсеуді, кабельдік трассаларды монтаждауды, электр қорегін қосуды, желілік жабдықты, контроллерді, QR-считывательді және басқару пультін қосуды, коммутацияны орындауды, желілік параметрлерді баптауды, байланыс желілерін тексеруді, контроллерді бағдарламалауды, өту логикасын баптауды, басқару сигналдарын тексеруді және іске қосу-баптау жұмыстарының толық кешенін жүргізуді қамтуы тиіс. Монтаж аяқталғаннан кейін бүкіл жүйенің жұмысқа қабілеттілігіне кешенді тексеру жүргізілуі тиіс, оның ішінде рұқсат етілген және тыйым салынған өтуді бірнеше рет тестілеу, басқару командаларын беру, оқиғаларды тіркеу және барлық орнатылған компоненттердің өзара әрекеттесуі тексерілуі тиіс. Жұмыстар аяқталғаннан кейін жабдық Тапсырыс берушінің техникалық ерекшелікте көзделген функционалдық үшін қажетті қосымша міндетті компоненттерді сатып алуын қажет етпей, штаттық пайдалануға толық дайын болуы тиіс.</w:t>
      </w:r>
    </w:p>
    <w:p w14:paraId="7DED197B" w14:textId="77777777" w:rsidR="00BE2736" w:rsidRPr="0063294D" w:rsidRDefault="00BE2736" w:rsidP="00BE2736">
      <w:pPr>
        <w:spacing w:after="0"/>
        <w:ind w:firstLine="709"/>
        <w:jc w:val="both"/>
        <w:rPr>
          <w:lang w:val="kk-KZ"/>
        </w:rPr>
      </w:pPr>
      <w:r w:rsidRPr="0063294D">
        <w:rPr>
          <w:lang w:val="kk-KZ"/>
        </w:rPr>
        <w:t>Шығыс материалдары — 1 жиынтық. Жиынтық жұмыстарды толық орындау және жүйені пайдалануға беру үшін қажетті мөлшердегі шығыс, монтаждау, коммутациялық және бекіту материалдарын қамтуы тиіс. Құрамына қажетті бекіту бұйымдары, анкерлер, дюбельдер, бұрандалар, болттар, гайкалар, шайбалар, клеммалар, ұштықтар, жалғағыштар, разъёмдар, монтаждау элементтері, оқшаулағыш материалдар, стяжкалар, кабельдік желілерді бекіту элементтері және монтаждау кезінде нақты қажетті өзге де материалдар кіруі тиіс. Қолданылатын барлық шығыс материалдары орнатылатын жабдықтың мақсатына сәйкес келуі, қосылыстардың сенімділігін қамтамасыз етуі және ұзақ мерзімді пайдалануға есептелуі тиіс. Уақытша қосылыстарды, қорғалмаған скруткаларды және жүйенің сенімділігін төмендететін өзге де шешімдерді қолдануға жол берілмейді.</w:t>
      </w:r>
    </w:p>
    <w:p w14:paraId="0BF790C7" w14:textId="77777777" w:rsidR="00BE2736" w:rsidRPr="0063294D" w:rsidRDefault="00BE2736" w:rsidP="00BE2736">
      <w:pPr>
        <w:spacing w:after="0"/>
        <w:ind w:firstLine="709"/>
        <w:jc w:val="both"/>
        <w:rPr>
          <w:lang w:val="kk-KZ"/>
        </w:rPr>
      </w:pPr>
      <w:r w:rsidRPr="0063294D">
        <w:rPr>
          <w:lang w:val="kk-KZ"/>
        </w:rPr>
        <w:t xml:space="preserve">Кабель — кемінде 305 погондық метр. Кабельдік өнім қол жеткізуді бақылау және басқару жүйесінің байланыс желілерін ұйымдастыруға және жабдықтарын қосуға арналған болуы тиіс. Кабель түрі нақты желінің мақсатына және қосылатын жабдықтың талаптарына сәйкес келуі тиіс. Кабель трассаның қарастырылған ұзындығы шегінде жабдықтың жұмыс қабілеттілігін нашарлатпай, деректерді және/немесе электр қорегін тұрақты </w:t>
      </w:r>
      <w:r w:rsidRPr="0063294D">
        <w:rPr>
          <w:lang w:val="kk-KZ"/>
        </w:rPr>
        <w:lastRenderedPageBreak/>
        <w:t>беруді қамтамасыз етуі тиіс. Кабель қабығы ғимарат ішінде стационарлық төсеу үшін жеткілікті механикалық беріктікті қамтамасыз етуі тиіс. Төсеу иілу радиусына, бекітуге, күштік және әлсіз ток желілерін бөлуге және механикалық зақымданудан қорғауға қойылатын талаптарды сақтай отырып орындалуы тиіс. Кабельдік желілердің барлық ұштары сапалы обжим жасалуы немесе тиісті клеммалар мен разъёмдар арқылы қосылуы тиіс. Монтаждан кейін кабельдік желілер тұтастығы мен қосылыстардың дұрыстығына тексерілуі тиіс.</w:t>
      </w:r>
    </w:p>
    <w:p w14:paraId="3379D6F8" w14:textId="443150A0" w:rsidR="00BE2736" w:rsidRPr="000D4751" w:rsidRDefault="00BE2736" w:rsidP="00BE2736">
      <w:pPr>
        <w:spacing w:after="0"/>
        <w:ind w:firstLine="709"/>
        <w:jc w:val="both"/>
        <w:rPr>
          <w:szCs w:val="28"/>
          <w:lang w:val="kk-KZ"/>
        </w:rPr>
      </w:pPr>
      <w:r w:rsidRPr="0063294D">
        <w:rPr>
          <w:b/>
          <w:bCs/>
          <w:lang w:val="kk-KZ"/>
        </w:rPr>
        <w:t>Кешенге қойылатын жалпы талаптар.</w:t>
      </w:r>
      <w:r w:rsidRPr="0063294D">
        <w:rPr>
          <w:lang w:val="kk-KZ"/>
        </w:rPr>
        <w:t xml:space="preserve"> Барлық аталған компоненттер өзара техникалық және функционалдық тұрғыдан үйлесімді болуы және монтаждан кейін бірыңғай жұмыс істейтін қол жеткізуді бақылау және басқару жүйесін құрауы тиіс. Жеткізілетін жабдық жаңа, бұрын пайдаланылмаған, қалпына келтірілмеген, қолданыста болмаған және механикалық зақымдары жоқ болуы тиіс. Жеткізу техникалық ерекшелікте көзделген функцияларды орындау үшін қажетті жабдықтарды, жинақтаушы бөлшектерді, бекітпелер мен керек-жарақтарды қамтуы тиіс. Жеткізуші ұсынылатын жабдықтың үйлесімділігі үшін жауапты болады. Жүйені тапсырғанға дейін монтаждау, қосу, конфигурациялау, бағдарламалау, іске қосу-баптау жұмыстары және кешенді тестілеу орындалуы тиіс. Жұмыстар орындалғаннан кейін Тапсырыс берушіге мақсаты бойынша пайдалануға дайын, толық жұмыс істейтін жүйе берілуі тиіс.</w:t>
      </w:r>
      <w:r w:rsidR="000D4751" w:rsidRPr="000D4751">
        <w:rPr>
          <w:rFonts w:eastAsia="Times New Roman"/>
          <w:color w:val="202124"/>
          <w:sz w:val="22"/>
          <w:lang w:val="kk-KZ"/>
        </w:rPr>
        <w:t xml:space="preserve"> </w:t>
      </w:r>
      <w:r w:rsidR="000D4751" w:rsidRPr="000D4751">
        <w:rPr>
          <w:rFonts w:eastAsia="Times New Roman"/>
          <w:color w:val="202124"/>
          <w:szCs w:val="28"/>
          <w:lang w:val="kk-KZ"/>
        </w:rPr>
        <w:t>Сондай-ақ, барлық орындалған жұмыстар белгіленген үлгідегі Аяқтау актісіне сәйкес қабылданады</w:t>
      </w:r>
    </w:p>
    <w:p w14:paraId="2D8704CE" w14:textId="77777777" w:rsidR="00594475" w:rsidRDefault="00594475" w:rsidP="00594475">
      <w:pPr>
        <w:spacing w:after="0"/>
        <w:ind w:firstLine="709"/>
        <w:jc w:val="both"/>
        <w:rPr>
          <w:lang w:val="kk-KZ"/>
        </w:rPr>
      </w:pPr>
      <w:r>
        <w:rPr>
          <w:lang w:val="kk-KZ"/>
        </w:rPr>
        <w:t xml:space="preserve">Металлоискатель -1 шт </w:t>
      </w:r>
    </w:p>
    <w:p w14:paraId="2FD00B55" w14:textId="77777777" w:rsidR="00594475" w:rsidRDefault="00594475" w:rsidP="00594475">
      <w:pPr>
        <w:spacing w:after="0"/>
        <w:ind w:firstLine="709"/>
        <w:jc w:val="both"/>
        <w:rPr>
          <w:lang w:val="kk-KZ"/>
        </w:rPr>
      </w:pPr>
      <w:r>
        <w:rPr>
          <w:lang w:val="kk-KZ"/>
        </w:rPr>
        <w:t xml:space="preserve">Турникет </w:t>
      </w:r>
      <w:proofErr w:type="spellStart"/>
      <w:r>
        <w:rPr>
          <w:lang w:val="en-US"/>
        </w:rPr>
        <w:t>ZKTeco</w:t>
      </w:r>
      <w:proofErr w:type="spellEnd"/>
      <w:r w:rsidRPr="00594475">
        <w:t xml:space="preserve"> </w:t>
      </w:r>
      <w:proofErr w:type="spellStart"/>
      <w:r>
        <w:rPr>
          <w:lang w:val="en-US"/>
        </w:rPr>
        <w:t>Ts</w:t>
      </w:r>
      <w:proofErr w:type="spellEnd"/>
      <w:r w:rsidRPr="00594475">
        <w:t xml:space="preserve"> 1000 </w:t>
      </w:r>
      <w:r>
        <w:rPr>
          <w:lang w:val="en-US"/>
        </w:rPr>
        <w:t>plus</w:t>
      </w:r>
      <w:r w:rsidRPr="00594475">
        <w:t>-1</w:t>
      </w:r>
      <w:r>
        <w:rPr>
          <w:lang w:val="kk-KZ"/>
        </w:rPr>
        <w:t xml:space="preserve">шт </w:t>
      </w:r>
    </w:p>
    <w:p w14:paraId="5B4F9411" w14:textId="77777777" w:rsidR="00594475" w:rsidRDefault="00594475" w:rsidP="00594475">
      <w:pPr>
        <w:spacing w:after="0"/>
        <w:ind w:firstLine="709"/>
        <w:jc w:val="both"/>
        <w:rPr>
          <w:lang w:val="kk-KZ"/>
        </w:rPr>
      </w:pPr>
      <w:r>
        <w:rPr>
          <w:lang w:val="kk-KZ"/>
        </w:rPr>
        <w:t xml:space="preserve">Контроллер-1 шт </w:t>
      </w:r>
    </w:p>
    <w:p w14:paraId="16F0485D" w14:textId="77777777" w:rsidR="00594475" w:rsidRDefault="00594475" w:rsidP="00594475">
      <w:pPr>
        <w:spacing w:after="0"/>
        <w:ind w:firstLine="709"/>
        <w:jc w:val="both"/>
        <w:rPr>
          <w:lang w:val="kk-KZ"/>
        </w:rPr>
      </w:pPr>
      <w:r>
        <w:rPr>
          <w:lang w:val="kk-KZ"/>
        </w:rPr>
        <w:t xml:space="preserve">Считыватель-1 шт </w:t>
      </w:r>
    </w:p>
    <w:p w14:paraId="1B14D8C0" w14:textId="77777777" w:rsidR="00594475" w:rsidRDefault="00594475" w:rsidP="00594475">
      <w:pPr>
        <w:spacing w:after="0"/>
        <w:ind w:firstLine="709"/>
        <w:jc w:val="both"/>
        <w:rPr>
          <w:lang w:val="kk-KZ"/>
        </w:rPr>
      </w:pPr>
      <w:r>
        <w:rPr>
          <w:lang w:val="kk-KZ"/>
        </w:rPr>
        <w:t>Пульт управления -2 шт</w:t>
      </w:r>
    </w:p>
    <w:p w14:paraId="09CC03BD" w14:textId="77777777" w:rsidR="00594475" w:rsidRPr="00594475" w:rsidRDefault="00594475" w:rsidP="00594475">
      <w:pPr>
        <w:spacing w:after="0"/>
        <w:ind w:firstLine="709"/>
        <w:jc w:val="both"/>
        <w:rPr>
          <w:lang w:val="kk-KZ"/>
        </w:rPr>
      </w:pPr>
      <w:r>
        <w:rPr>
          <w:lang w:val="kk-KZ"/>
        </w:rPr>
        <w:t xml:space="preserve">Карточка-10 шт </w:t>
      </w:r>
    </w:p>
    <w:p w14:paraId="066D3877" w14:textId="77777777" w:rsidR="00BE2736" w:rsidRPr="0063294D" w:rsidRDefault="00BE2736" w:rsidP="006C0B77">
      <w:pPr>
        <w:spacing w:after="0"/>
        <w:ind w:firstLine="709"/>
        <w:jc w:val="both"/>
        <w:rPr>
          <w:lang w:val="kk-KZ"/>
        </w:rPr>
      </w:pPr>
    </w:p>
    <w:sectPr w:rsidR="00BE2736" w:rsidRPr="0063294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8C8"/>
    <w:rsid w:val="000D4751"/>
    <w:rsid w:val="0014025A"/>
    <w:rsid w:val="001E38C8"/>
    <w:rsid w:val="002F3FD9"/>
    <w:rsid w:val="00333F43"/>
    <w:rsid w:val="00594475"/>
    <w:rsid w:val="00631BF4"/>
    <w:rsid w:val="0063294D"/>
    <w:rsid w:val="0065379B"/>
    <w:rsid w:val="0069636D"/>
    <w:rsid w:val="006C0B77"/>
    <w:rsid w:val="007B38A9"/>
    <w:rsid w:val="008242FF"/>
    <w:rsid w:val="00870751"/>
    <w:rsid w:val="008E66EB"/>
    <w:rsid w:val="00922C48"/>
    <w:rsid w:val="00B915B7"/>
    <w:rsid w:val="00BE2736"/>
    <w:rsid w:val="00C10CCA"/>
    <w:rsid w:val="00C5162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D0F77"/>
  <w15:chartTrackingRefBased/>
  <w15:docId w15:val="{DFD6FB14-365A-4AB1-B9C1-50EC7529A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1E38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1E38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1E38C8"/>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1E38C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1E38C8"/>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1E38C8"/>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1E38C8"/>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1E38C8"/>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1E38C8"/>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38C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E38C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E38C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E38C8"/>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1E38C8"/>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1E38C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1E38C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1E38C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1E38C8"/>
    <w:rPr>
      <w:rFonts w:eastAsiaTheme="majorEastAsia" w:cstheme="majorBidi"/>
      <w:color w:val="272727" w:themeColor="text1" w:themeTint="D8"/>
      <w:sz w:val="28"/>
    </w:rPr>
  </w:style>
  <w:style w:type="paragraph" w:styleId="a3">
    <w:name w:val="Title"/>
    <w:basedOn w:val="a"/>
    <w:next w:val="a"/>
    <w:link w:val="a4"/>
    <w:uiPriority w:val="10"/>
    <w:qFormat/>
    <w:rsid w:val="001E38C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E38C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E38C8"/>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1E38C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E38C8"/>
    <w:pPr>
      <w:spacing w:before="160"/>
      <w:jc w:val="center"/>
    </w:pPr>
    <w:rPr>
      <w:i/>
      <w:iCs/>
      <w:color w:val="404040" w:themeColor="text1" w:themeTint="BF"/>
    </w:rPr>
  </w:style>
  <w:style w:type="character" w:customStyle="1" w:styleId="22">
    <w:name w:val="Цитата 2 Знак"/>
    <w:basedOn w:val="a0"/>
    <w:link w:val="21"/>
    <w:uiPriority w:val="29"/>
    <w:rsid w:val="001E38C8"/>
    <w:rPr>
      <w:rFonts w:ascii="Times New Roman" w:hAnsi="Times New Roman"/>
      <w:i/>
      <w:iCs/>
      <w:color w:val="404040" w:themeColor="text1" w:themeTint="BF"/>
      <w:sz w:val="28"/>
    </w:rPr>
  </w:style>
  <w:style w:type="paragraph" w:styleId="a7">
    <w:name w:val="List Paragraph"/>
    <w:basedOn w:val="a"/>
    <w:uiPriority w:val="34"/>
    <w:qFormat/>
    <w:rsid w:val="001E38C8"/>
    <w:pPr>
      <w:ind w:left="720"/>
      <w:contextualSpacing/>
    </w:pPr>
  </w:style>
  <w:style w:type="character" w:styleId="a8">
    <w:name w:val="Intense Emphasis"/>
    <w:basedOn w:val="a0"/>
    <w:uiPriority w:val="21"/>
    <w:qFormat/>
    <w:rsid w:val="001E38C8"/>
    <w:rPr>
      <w:i/>
      <w:iCs/>
      <w:color w:val="2F5496" w:themeColor="accent1" w:themeShade="BF"/>
    </w:rPr>
  </w:style>
  <w:style w:type="paragraph" w:styleId="a9">
    <w:name w:val="Intense Quote"/>
    <w:basedOn w:val="a"/>
    <w:next w:val="a"/>
    <w:link w:val="aa"/>
    <w:uiPriority w:val="30"/>
    <w:qFormat/>
    <w:rsid w:val="001E38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1E38C8"/>
    <w:rPr>
      <w:rFonts w:ascii="Times New Roman" w:hAnsi="Times New Roman"/>
      <w:i/>
      <w:iCs/>
      <w:color w:val="2F5496" w:themeColor="accent1" w:themeShade="BF"/>
      <w:sz w:val="28"/>
    </w:rPr>
  </w:style>
  <w:style w:type="character" w:styleId="ab">
    <w:name w:val="Intense Reference"/>
    <w:basedOn w:val="a0"/>
    <w:uiPriority w:val="32"/>
    <w:qFormat/>
    <w:rsid w:val="001E38C8"/>
    <w:rPr>
      <w:b/>
      <w:bCs/>
      <w:smallCaps/>
      <w:color w:val="2F5496" w:themeColor="accent1" w:themeShade="BF"/>
      <w:spacing w:val="5"/>
    </w:rPr>
  </w:style>
  <w:style w:type="character" w:styleId="ac">
    <w:name w:val="Hyperlink"/>
    <w:basedOn w:val="a0"/>
    <w:uiPriority w:val="99"/>
    <w:semiHidden/>
    <w:unhideWhenUsed/>
    <w:rsid w:val="0063294D"/>
    <w:rPr>
      <w:color w:val="0000FF"/>
      <w:u w:val="single"/>
    </w:rPr>
  </w:style>
  <w:style w:type="character" w:customStyle="1" w:styleId="ypks7kbdpwfgdykd3qb9">
    <w:name w:val="ypks7kbdpwfgdykd3qb9"/>
    <w:rsid w:val="00C516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304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10</Pages>
  <Words>4011</Words>
  <Characters>22867</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18</cp:revision>
  <dcterms:created xsi:type="dcterms:W3CDTF">2026-10-15T06:48:00Z</dcterms:created>
  <dcterms:modified xsi:type="dcterms:W3CDTF">2026-10-15T11:00:00Z</dcterms:modified>
</cp:coreProperties>
</file>