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line="252" w:lineRule="auto"/>
        <w:jc w:val="center"/>
      </w:pPr>
      <w:r>
        <w:rPr>
          <w:rFonts w:ascii="Arial" w:hAnsi="Arial" w:eastAsia="Arial"/>
          <w:b/>
          <w:i w:val="0"/>
          <w:sz w:val="28"/>
        </w:rPr>
        <w:t>ТЕХНИКАЛЫҚ СИПАТТАМА</w:t>
      </w:r>
    </w:p>
    <w:p>
      <w:pPr>
        <w:spacing w:after="60" w:line="252" w:lineRule="auto"/>
        <w:jc w:val="center"/>
      </w:pPr>
      <w:r>
        <w:rPr>
          <w:rFonts w:ascii="Arial" w:hAnsi="Arial" w:eastAsia="Arial"/>
          <w:b/>
          <w:i w:val="0"/>
          <w:sz w:val="24"/>
        </w:rPr>
        <w:t>«Қолданыстағы өрт дабылы жүйесін жөндеу, қалпына келтіру және қосымша жабдықтау жұмыстары»</w:t>
      </w:r>
    </w:p>
    <w:p>
      <w:pPr>
        <w:spacing w:after="60" w:line="252" w:lineRule="auto"/>
        <w:jc w:val="left"/>
      </w:pPr>
      <w:r>
        <w:rPr>
          <w:rFonts w:ascii="Arial" w:hAnsi="Arial" w:eastAsia="Arial"/>
          <w:b/>
          <w:i w:val="0"/>
          <w:sz w:val="22"/>
        </w:rPr>
        <w:t>1. Жұмыстардың нысанасы мен мақсаты</w:t>
      </w:r>
    </w:p>
    <w:p>
      <w:pPr>
        <w:spacing w:after="60" w:line="252" w:lineRule="auto"/>
        <w:jc w:val="left"/>
      </w:pPr>
      <w:r>
        <w:rPr>
          <w:rFonts w:ascii="Arial" w:hAnsi="Arial" w:eastAsia="Arial"/>
          <w:b w:val="0"/>
          <w:i w:val="0"/>
        </w:rPr>
        <w:t>Сатып алудың нысанасы – объектідегі қолданыстағы өрт дабылы жүйесін толық тексеру, жөндеу, қалпына келтіру және қосымша жабдықтау бойынша бірыңғай жұмыстар кешенін орындау. Жұмыстар қажетті жабдықтар мен материалдарды жеткізуді, элементтерді монтаждауды, ауыстыруды және қалпына келтіруді, кабельдік желілерді төсеуді, қосуды, баптауды, шлейфтерді тексеруді, іске қосу-баптау жұмыстарын, функционалдық сынақтарды және осы техникалық сипаттаманың көлемі шегінде жарамды әрі жұмысқа қабілетті жүйені Тапсырыс берушіге тапсыруды қамтиды.</w:t>
      </w:r>
    </w:p>
    <w:p>
      <w:pPr>
        <w:spacing w:after="60" w:line="252" w:lineRule="auto"/>
        <w:jc w:val="left"/>
      </w:pPr>
      <w:r>
        <w:rPr>
          <w:rFonts w:ascii="Arial" w:hAnsi="Arial" w:eastAsia="Arial"/>
          <w:b w:val="0"/>
          <w:i w:val="0"/>
        </w:rPr>
        <w:t>Жабдықтар мен материалдарды жеткізу жұмыс нәтижесінің құрамдас бөлігі болып табылады. Көзделген жұмыс көлемін орындауға қажетті жабдықтар, материалдар, бекіткіштер, шығыс материалдары, жеткізу, монтаждау, қосу, баптау, сынақтар, тазалау және қаптаманы шығару шығындары жұмыс бағасына енгізіледі және Тапсырыс беруші тарапынан бөлек төленбейді.</w:t>
      </w:r>
    </w:p>
    <w:p>
      <w:pPr>
        <w:spacing w:after="60" w:line="252" w:lineRule="auto"/>
        <w:jc w:val="left"/>
      </w:pPr>
      <w:r>
        <w:rPr>
          <w:rFonts w:ascii="Arial" w:hAnsi="Arial" w:eastAsia="Arial"/>
          <w:b/>
          <w:i w:val="0"/>
          <w:sz w:val="22"/>
        </w:rPr>
        <w:t>2. Жабдықтардың, материалдардың және жұмыстардың бастапқы көлемі</w:t>
      </w:r>
    </w:p>
    <w:tbl>
      <w:tblPr>
        <w:tblStyle w:val="TableGrid"/>
        <w:tblW w:type="auto" w:w="0"/>
        <w:jc w:val="center"/>
        <w:tblLook w:firstColumn="1" w:firstRow="1" w:lastColumn="0" w:lastRow="0" w:noHBand="0" w:noVBand="1" w:val="04A0"/>
      </w:tblPr>
      <w:tblGrid>
        <w:gridCol w:w="2564"/>
        <w:gridCol w:w="2564"/>
        <w:gridCol w:w="2564"/>
        <w:gridCol w:w="2564"/>
      </w:tblGrid>
      <w:tr>
        <w:tc>
          <w:tcPr>
            <w:tcW w:type="dxa" w:w="2564"/>
            <w:vAlign w:val="center"/>
          </w:tcPr>
          <w:p>
            <w:r>
              <w:rPr>
                <w:rFonts w:ascii="Arial" w:hAnsi="Arial" w:eastAsia="Arial"/>
                <w:b/>
                <w:sz w:val="18"/>
              </w:rPr>
              <w:t>№</w:t>
            </w:r>
          </w:p>
        </w:tc>
        <w:tc>
          <w:tcPr>
            <w:tcW w:type="dxa" w:w="2564"/>
            <w:vAlign w:val="center"/>
          </w:tcPr>
          <w:p>
            <w:r>
              <w:rPr>
                <w:rFonts w:ascii="Arial" w:hAnsi="Arial" w:eastAsia="Arial"/>
                <w:b/>
                <w:sz w:val="18"/>
              </w:rPr>
              <w:t>Атауы</w:t>
            </w:r>
          </w:p>
        </w:tc>
        <w:tc>
          <w:tcPr>
            <w:tcW w:type="dxa" w:w="2564"/>
            <w:vAlign w:val="center"/>
          </w:tcPr>
          <w:p>
            <w:r>
              <w:rPr>
                <w:rFonts w:ascii="Arial" w:hAnsi="Arial" w:eastAsia="Arial"/>
                <w:b/>
                <w:sz w:val="18"/>
              </w:rPr>
              <w:t>Сипаттамасы / жұмыс мазмұны</w:t>
            </w:r>
          </w:p>
        </w:tc>
        <w:tc>
          <w:tcPr>
            <w:tcW w:type="dxa" w:w="2564"/>
            <w:vAlign w:val="center"/>
          </w:tcPr>
          <w:p>
            <w:r>
              <w:rPr>
                <w:rFonts w:ascii="Arial" w:hAnsi="Arial" w:eastAsia="Arial"/>
                <w:b/>
                <w:sz w:val="18"/>
              </w:rPr>
              <w:t>Саны</w:t>
            </w:r>
          </w:p>
        </w:tc>
      </w:tr>
      <w:tr>
        <w:tc>
          <w:tcPr>
            <w:tcW w:type="dxa" w:w="2564"/>
            <w:vAlign w:val="center"/>
          </w:tcPr>
          <w:p>
            <w:r>
              <w:rPr>
                <w:rFonts w:ascii="Arial" w:hAnsi="Arial" w:eastAsia="Arial"/>
                <w:sz w:val="18"/>
              </w:rPr>
              <w:t>1</w:t>
            </w:r>
          </w:p>
        </w:tc>
        <w:tc>
          <w:tcPr>
            <w:tcW w:type="dxa" w:w="2564"/>
            <w:vAlign w:val="center"/>
          </w:tcPr>
          <w:p>
            <w:r>
              <w:rPr>
                <w:rFonts w:ascii="Arial" w:hAnsi="Arial" w:eastAsia="Arial"/>
                <w:sz w:val="18"/>
              </w:rPr>
              <w:t>Түтіндік өрт хабарлағышы</w:t>
            </w:r>
          </w:p>
        </w:tc>
        <w:tc>
          <w:tcPr>
            <w:tcW w:type="dxa" w:w="2564"/>
            <w:vAlign w:val="center"/>
          </w:tcPr>
          <w:p>
            <w:r>
              <w:rPr>
                <w:rFonts w:ascii="Arial" w:hAnsi="Arial" w:eastAsia="Arial"/>
                <w:sz w:val="18"/>
              </w:rPr>
              <w:t>ИП 212-141</w:t>
            </w:r>
          </w:p>
        </w:tc>
        <w:tc>
          <w:tcPr>
            <w:tcW w:type="dxa" w:w="2564"/>
            <w:vAlign w:val="center"/>
          </w:tcPr>
          <w:p>
            <w:r>
              <w:rPr>
                <w:rFonts w:ascii="Arial" w:hAnsi="Arial" w:eastAsia="Arial"/>
                <w:sz w:val="18"/>
              </w:rPr>
              <w:t>75 дана</w:t>
            </w:r>
          </w:p>
        </w:tc>
      </w:tr>
      <w:tr>
        <w:tc>
          <w:tcPr>
            <w:tcW w:type="dxa" w:w="2564"/>
            <w:vAlign w:val="center"/>
          </w:tcPr>
          <w:p>
            <w:r>
              <w:rPr>
                <w:rFonts w:ascii="Arial" w:hAnsi="Arial" w:eastAsia="Arial"/>
                <w:sz w:val="18"/>
              </w:rPr>
              <w:t>2</w:t>
            </w:r>
          </w:p>
        </w:tc>
        <w:tc>
          <w:tcPr>
            <w:tcW w:type="dxa" w:w="2564"/>
            <w:vAlign w:val="center"/>
          </w:tcPr>
          <w:p>
            <w:r>
              <w:rPr>
                <w:rFonts w:ascii="Arial" w:hAnsi="Arial" w:eastAsia="Arial"/>
                <w:sz w:val="18"/>
              </w:rPr>
              <w:t>Жылулық өрт хабарлағышы</w:t>
            </w:r>
          </w:p>
        </w:tc>
        <w:tc>
          <w:tcPr>
            <w:tcW w:type="dxa" w:w="2564"/>
            <w:vAlign w:val="center"/>
          </w:tcPr>
          <w:p>
            <w:r>
              <w:rPr>
                <w:rFonts w:ascii="Arial" w:hAnsi="Arial" w:eastAsia="Arial"/>
                <w:sz w:val="18"/>
              </w:rPr>
              <w:t>қолданыстағы өрт дабылы жүйесімен үйлесімді</w:t>
            </w:r>
          </w:p>
        </w:tc>
        <w:tc>
          <w:tcPr>
            <w:tcW w:type="dxa" w:w="2564"/>
            <w:vAlign w:val="center"/>
          </w:tcPr>
          <w:p>
            <w:r>
              <w:rPr>
                <w:rFonts w:ascii="Arial" w:hAnsi="Arial" w:eastAsia="Arial"/>
                <w:sz w:val="18"/>
              </w:rPr>
              <w:t>5 дана</w:t>
            </w:r>
          </w:p>
        </w:tc>
      </w:tr>
      <w:tr>
        <w:tc>
          <w:tcPr>
            <w:tcW w:type="dxa" w:w="2564"/>
            <w:vAlign w:val="center"/>
          </w:tcPr>
          <w:p>
            <w:r>
              <w:rPr>
                <w:rFonts w:ascii="Arial" w:hAnsi="Arial" w:eastAsia="Arial"/>
                <w:sz w:val="18"/>
              </w:rPr>
              <w:t>3</w:t>
            </w:r>
          </w:p>
        </w:tc>
        <w:tc>
          <w:tcPr>
            <w:tcW w:type="dxa" w:w="2564"/>
            <w:vAlign w:val="center"/>
          </w:tcPr>
          <w:p>
            <w:r>
              <w:rPr>
                <w:rFonts w:ascii="Arial" w:hAnsi="Arial" w:eastAsia="Arial"/>
                <w:sz w:val="18"/>
              </w:rPr>
              <w:t>Өрт хабарлағыштарын монтаждау</w:t>
            </w:r>
          </w:p>
        </w:tc>
        <w:tc>
          <w:tcPr>
            <w:tcW w:type="dxa" w:w="2564"/>
            <w:vAlign w:val="center"/>
          </w:tcPr>
          <w:p>
            <w:r>
              <w:rPr>
                <w:rFonts w:ascii="Arial" w:hAnsi="Arial" w:eastAsia="Arial"/>
                <w:sz w:val="18"/>
              </w:rPr>
              <w:t>қолданыстағы шлейфтерге монтаждау, қосу және жұмыс қабілетін тексеру</w:t>
            </w:r>
          </w:p>
        </w:tc>
        <w:tc>
          <w:tcPr>
            <w:tcW w:type="dxa" w:w="2564"/>
            <w:vAlign w:val="center"/>
          </w:tcPr>
          <w:p>
            <w:r>
              <w:rPr>
                <w:rFonts w:ascii="Arial" w:hAnsi="Arial" w:eastAsia="Arial"/>
                <w:sz w:val="18"/>
              </w:rPr>
              <w:t>60 нүкте</w:t>
            </w:r>
          </w:p>
        </w:tc>
      </w:tr>
      <w:tr>
        <w:tc>
          <w:tcPr>
            <w:tcW w:type="dxa" w:w="2564"/>
            <w:vAlign w:val="center"/>
          </w:tcPr>
          <w:p>
            <w:r>
              <w:rPr>
                <w:rFonts w:ascii="Arial" w:hAnsi="Arial" w:eastAsia="Arial"/>
                <w:sz w:val="18"/>
              </w:rPr>
              <w:t>4</w:t>
            </w:r>
          </w:p>
        </w:tc>
        <w:tc>
          <w:tcPr>
            <w:tcW w:type="dxa" w:w="2564"/>
            <w:vAlign w:val="center"/>
          </w:tcPr>
          <w:p>
            <w:r>
              <w:rPr>
                <w:rFonts w:ascii="Arial" w:hAnsi="Arial" w:eastAsia="Arial"/>
                <w:sz w:val="18"/>
              </w:rPr>
              <w:t>«Шығу-Выход» жарықтық/құрамдастырылған хабарлағышы</w:t>
            </w:r>
          </w:p>
        </w:tc>
        <w:tc>
          <w:tcPr>
            <w:tcW w:type="dxa" w:w="2564"/>
            <w:vAlign w:val="center"/>
          </w:tcPr>
          <w:p>
            <w:r>
              <w:rPr>
                <w:rFonts w:ascii="Arial" w:hAnsi="Arial" w:eastAsia="Arial"/>
                <w:sz w:val="18"/>
              </w:rPr>
              <w:t>эвакуациялық шығу орнын белгілеуге арналған</w:t>
            </w:r>
          </w:p>
        </w:tc>
        <w:tc>
          <w:tcPr>
            <w:tcW w:type="dxa" w:w="2564"/>
            <w:vAlign w:val="center"/>
          </w:tcPr>
          <w:p>
            <w:r>
              <w:rPr>
                <w:rFonts w:ascii="Arial" w:hAnsi="Arial" w:eastAsia="Arial"/>
                <w:sz w:val="18"/>
              </w:rPr>
              <w:t>14 дана</w:t>
            </w:r>
          </w:p>
        </w:tc>
      </w:tr>
      <w:tr>
        <w:tc>
          <w:tcPr>
            <w:tcW w:type="dxa" w:w="2564"/>
            <w:vAlign w:val="center"/>
          </w:tcPr>
          <w:p>
            <w:r>
              <w:rPr>
                <w:rFonts w:ascii="Arial" w:hAnsi="Arial" w:eastAsia="Arial"/>
                <w:sz w:val="18"/>
              </w:rPr>
              <w:t>5</w:t>
            </w:r>
          </w:p>
        </w:tc>
        <w:tc>
          <w:tcPr>
            <w:tcW w:type="dxa" w:w="2564"/>
            <w:vAlign w:val="center"/>
          </w:tcPr>
          <w:p>
            <w:r>
              <w:rPr>
                <w:rFonts w:ascii="Arial" w:hAnsi="Arial" w:eastAsia="Arial"/>
                <w:sz w:val="18"/>
              </w:rPr>
              <w:t>«Шығу-Выход» хабарлағыштарын монтаждау және қосу</w:t>
            </w:r>
          </w:p>
        </w:tc>
        <w:tc>
          <w:tcPr>
            <w:tcW w:type="dxa" w:w="2564"/>
            <w:vAlign w:val="center"/>
          </w:tcPr>
          <w:p>
            <w:r>
              <w:rPr>
                <w:rFonts w:ascii="Arial" w:hAnsi="Arial" w:eastAsia="Arial"/>
                <w:sz w:val="18"/>
              </w:rPr>
              <w:t>желіні және жұмыс қабілетін тексерумен</w:t>
            </w:r>
          </w:p>
        </w:tc>
        <w:tc>
          <w:tcPr>
            <w:tcW w:type="dxa" w:w="2564"/>
            <w:vAlign w:val="center"/>
          </w:tcPr>
          <w:p>
            <w:r>
              <w:rPr>
                <w:rFonts w:ascii="Arial" w:hAnsi="Arial" w:eastAsia="Arial"/>
                <w:sz w:val="18"/>
              </w:rPr>
              <w:t>14 нүкте</w:t>
            </w:r>
          </w:p>
        </w:tc>
      </w:tr>
      <w:tr>
        <w:tc>
          <w:tcPr>
            <w:tcW w:type="dxa" w:w="2564"/>
            <w:vAlign w:val="center"/>
          </w:tcPr>
          <w:p>
            <w:r>
              <w:rPr>
                <w:rFonts w:ascii="Arial" w:hAnsi="Arial" w:eastAsia="Arial"/>
                <w:sz w:val="18"/>
              </w:rPr>
              <w:t>6</w:t>
            </w:r>
          </w:p>
        </w:tc>
        <w:tc>
          <w:tcPr>
            <w:tcW w:type="dxa" w:w="2564"/>
            <w:vAlign w:val="center"/>
          </w:tcPr>
          <w:p>
            <w:r>
              <w:rPr>
                <w:rFonts w:ascii="Arial" w:hAnsi="Arial" w:eastAsia="Arial"/>
                <w:sz w:val="18"/>
              </w:rPr>
              <w:t>Қол өрт хабарлағышы</w:t>
            </w:r>
          </w:p>
        </w:tc>
        <w:tc>
          <w:tcPr>
            <w:tcW w:type="dxa" w:w="2564"/>
            <w:vAlign w:val="center"/>
          </w:tcPr>
          <w:p>
            <w:r>
              <w:rPr>
                <w:rFonts w:ascii="Arial" w:hAnsi="Arial" w:eastAsia="Arial"/>
                <w:sz w:val="18"/>
              </w:rPr>
              <w:t>қолданыстағы жүйемен үйлесімді</w:t>
            </w:r>
          </w:p>
        </w:tc>
        <w:tc>
          <w:tcPr>
            <w:tcW w:type="dxa" w:w="2564"/>
            <w:vAlign w:val="center"/>
          </w:tcPr>
          <w:p>
            <w:r>
              <w:rPr>
                <w:rFonts w:ascii="Arial" w:hAnsi="Arial" w:eastAsia="Arial"/>
                <w:sz w:val="18"/>
              </w:rPr>
              <w:t>8 дана</w:t>
            </w:r>
          </w:p>
        </w:tc>
      </w:tr>
      <w:tr>
        <w:tc>
          <w:tcPr>
            <w:tcW w:type="dxa" w:w="2564"/>
            <w:vAlign w:val="center"/>
          </w:tcPr>
          <w:p>
            <w:r>
              <w:rPr>
                <w:rFonts w:ascii="Arial" w:hAnsi="Arial" w:eastAsia="Arial"/>
                <w:sz w:val="18"/>
              </w:rPr>
              <w:t>7</w:t>
            </w:r>
          </w:p>
        </w:tc>
        <w:tc>
          <w:tcPr>
            <w:tcW w:type="dxa" w:w="2564"/>
            <w:vAlign w:val="center"/>
          </w:tcPr>
          <w:p>
            <w:r>
              <w:rPr>
                <w:rFonts w:ascii="Arial" w:hAnsi="Arial" w:eastAsia="Arial"/>
                <w:sz w:val="18"/>
              </w:rPr>
              <w:t>Қол өрт хабарлағышын монтаждау және қосу</w:t>
            </w:r>
          </w:p>
        </w:tc>
        <w:tc>
          <w:tcPr>
            <w:tcW w:type="dxa" w:w="2564"/>
            <w:vAlign w:val="center"/>
          </w:tcPr>
          <w:p>
            <w:r>
              <w:rPr>
                <w:rFonts w:ascii="Arial" w:hAnsi="Arial" w:eastAsia="Arial"/>
                <w:sz w:val="18"/>
              </w:rPr>
              <w:t>функционалдық тексерумен</w:t>
            </w:r>
          </w:p>
        </w:tc>
        <w:tc>
          <w:tcPr>
            <w:tcW w:type="dxa" w:w="2564"/>
            <w:vAlign w:val="center"/>
          </w:tcPr>
          <w:p>
            <w:r>
              <w:rPr>
                <w:rFonts w:ascii="Arial" w:hAnsi="Arial" w:eastAsia="Arial"/>
                <w:sz w:val="18"/>
              </w:rPr>
              <w:t>8 нүкте</w:t>
            </w:r>
          </w:p>
        </w:tc>
      </w:tr>
      <w:tr>
        <w:tc>
          <w:tcPr>
            <w:tcW w:type="dxa" w:w="2564"/>
            <w:vAlign w:val="center"/>
          </w:tcPr>
          <w:p>
            <w:r>
              <w:rPr>
                <w:rFonts w:ascii="Arial" w:hAnsi="Arial" w:eastAsia="Arial"/>
                <w:sz w:val="18"/>
              </w:rPr>
              <w:t>8</w:t>
            </w:r>
          </w:p>
        </w:tc>
        <w:tc>
          <w:tcPr>
            <w:tcW w:type="dxa" w:w="2564"/>
            <w:vAlign w:val="center"/>
          </w:tcPr>
          <w:p>
            <w:r>
              <w:rPr>
                <w:rFonts w:ascii="Arial" w:hAnsi="Arial" w:eastAsia="Arial"/>
                <w:sz w:val="18"/>
              </w:rPr>
              <w:t>Монтаждық кабель</w:t>
            </w:r>
          </w:p>
        </w:tc>
        <w:tc>
          <w:tcPr>
            <w:tcW w:type="dxa" w:w="2564"/>
            <w:vAlign w:val="center"/>
          </w:tcPr>
          <w:p>
            <w:r>
              <w:rPr>
                <w:rFonts w:ascii="Arial" w:hAnsi="Arial" w:eastAsia="Arial"/>
                <w:sz w:val="18"/>
              </w:rPr>
              <w:t>КСПВ 4×0,5</w:t>
            </w:r>
          </w:p>
        </w:tc>
        <w:tc>
          <w:tcPr>
            <w:tcW w:type="dxa" w:w="2564"/>
            <w:vAlign w:val="center"/>
          </w:tcPr>
          <w:p>
            <w:r>
              <w:rPr>
                <w:rFonts w:ascii="Arial" w:hAnsi="Arial" w:eastAsia="Arial"/>
                <w:sz w:val="18"/>
              </w:rPr>
              <w:t>2 бухта</w:t>
            </w:r>
          </w:p>
        </w:tc>
      </w:tr>
      <w:tr>
        <w:tc>
          <w:tcPr>
            <w:tcW w:type="dxa" w:w="2564"/>
            <w:vAlign w:val="center"/>
          </w:tcPr>
          <w:p>
            <w:r>
              <w:rPr>
                <w:rFonts w:ascii="Arial" w:hAnsi="Arial" w:eastAsia="Arial"/>
                <w:sz w:val="18"/>
              </w:rPr>
              <w:t>9</w:t>
            </w:r>
          </w:p>
        </w:tc>
        <w:tc>
          <w:tcPr>
            <w:tcW w:type="dxa" w:w="2564"/>
            <w:vAlign w:val="center"/>
          </w:tcPr>
          <w:p>
            <w:r>
              <w:rPr>
                <w:rFonts w:ascii="Arial" w:hAnsi="Arial" w:eastAsia="Arial"/>
                <w:sz w:val="18"/>
              </w:rPr>
              <w:t>Кабель төсеу</w:t>
            </w:r>
          </w:p>
        </w:tc>
        <w:tc>
          <w:tcPr>
            <w:tcW w:type="dxa" w:w="2564"/>
            <w:vAlign w:val="center"/>
          </w:tcPr>
          <w:p>
            <w:r>
              <w:rPr>
                <w:rFonts w:ascii="Arial" w:hAnsi="Arial" w:eastAsia="Arial"/>
                <w:sz w:val="18"/>
              </w:rPr>
              <w:t>кабель-арнада / келісілген трасса бойынша</w:t>
            </w:r>
          </w:p>
        </w:tc>
        <w:tc>
          <w:tcPr>
            <w:tcW w:type="dxa" w:w="2564"/>
            <w:vAlign w:val="center"/>
          </w:tcPr>
          <w:p>
            <w:r>
              <w:rPr>
                <w:rFonts w:ascii="Arial" w:hAnsi="Arial" w:eastAsia="Arial"/>
                <w:sz w:val="18"/>
              </w:rPr>
              <w:t>400 м</w:t>
            </w:r>
          </w:p>
        </w:tc>
      </w:tr>
      <w:tr>
        <w:tc>
          <w:tcPr>
            <w:tcW w:type="dxa" w:w="2564"/>
            <w:vAlign w:val="center"/>
          </w:tcPr>
          <w:p>
            <w:r>
              <w:rPr>
                <w:rFonts w:ascii="Arial" w:hAnsi="Arial" w:eastAsia="Arial"/>
                <w:sz w:val="18"/>
              </w:rPr>
              <w:t>10</w:t>
            </w:r>
          </w:p>
        </w:tc>
        <w:tc>
          <w:tcPr>
            <w:tcW w:type="dxa" w:w="2564"/>
            <w:vAlign w:val="center"/>
          </w:tcPr>
          <w:p>
            <w:r>
              <w:rPr>
                <w:rFonts w:ascii="Arial" w:hAnsi="Arial" w:eastAsia="Arial"/>
                <w:sz w:val="18"/>
              </w:rPr>
              <w:t>Кабель-арна</w:t>
            </w:r>
          </w:p>
        </w:tc>
        <w:tc>
          <w:tcPr>
            <w:tcW w:type="dxa" w:w="2564"/>
            <w:vAlign w:val="center"/>
          </w:tcPr>
          <w:p>
            <w:r>
              <w:rPr>
                <w:rFonts w:ascii="Arial" w:hAnsi="Arial" w:eastAsia="Arial"/>
                <w:sz w:val="18"/>
              </w:rPr>
              <w:t>әрқайсысы 2 м кесінділер</w:t>
            </w:r>
          </w:p>
        </w:tc>
        <w:tc>
          <w:tcPr>
            <w:tcW w:type="dxa" w:w="2564"/>
            <w:vAlign w:val="center"/>
          </w:tcPr>
          <w:p>
            <w:r>
              <w:rPr>
                <w:rFonts w:ascii="Arial" w:hAnsi="Arial" w:eastAsia="Arial"/>
                <w:sz w:val="18"/>
              </w:rPr>
              <w:t>150 дана (300 м)</w:t>
            </w:r>
          </w:p>
        </w:tc>
      </w:tr>
    </w:tbl>
    <w:p>
      <w:pPr>
        <w:spacing w:after="60" w:line="252" w:lineRule="auto"/>
        <w:jc w:val="left"/>
      </w:pPr>
      <w:r>
        <w:rPr>
          <w:rFonts w:ascii="Arial" w:hAnsi="Arial" w:eastAsia="Arial"/>
          <w:b w:val="0"/>
          <w:i w:val="0"/>
        </w:rPr>
        <w:t>Ескерту: коммерциялық ұсыныста 75 түтіндік және 5 жылулық хабарлағыш көрсетілген, ал автоматты өрт хабарлағыштарын монтаждаудың жеке позициясы 60 нүкте көлемінде берілген. Осы техникалық сипаттамада коммерциялық ұсыныстың бастапқы саны сақталды. Ауыстыру/орнатудың нақты нүктелері тексеру нәтижелері бойынша анықталып, шартта көзделген көлем шегінде Тапсырыс берушімен келісіледі.</w:t>
      </w:r>
    </w:p>
    <w:p>
      <w:pPr>
        <w:spacing w:after="60" w:line="252" w:lineRule="auto"/>
        <w:jc w:val="left"/>
      </w:pPr>
      <w:r>
        <w:rPr>
          <w:rFonts w:ascii="Arial" w:hAnsi="Arial" w:eastAsia="Arial"/>
          <w:b/>
          <w:i w:val="0"/>
          <w:sz w:val="22"/>
        </w:rPr>
        <w:t>3. Қолданыстағы жүйені міндетті түрде толық тексеру</w:t>
      </w:r>
    </w:p>
    <w:p>
      <w:pPr>
        <w:spacing w:after="60" w:line="252" w:lineRule="auto"/>
        <w:jc w:val="left"/>
      </w:pPr>
      <w:r>
        <w:rPr>
          <w:rFonts w:ascii="Arial" w:hAnsi="Arial" w:eastAsia="Arial"/>
          <w:b w:val="0"/>
          <w:i w:val="0"/>
        </w:rPr>
        <w:t>Монтаждау жұмыстары басталғанға дейін Мердігер объектідегі қолданыстағы өрт дабылы жүйесін қызмет көрсетілетін жүйе және жұмыстар орындалатын аймақтар шегінде толық тексеруге міндетті: өрт хабарлағыштарының, қол хабарлағыштарының, жарықтық хабарлағыштардың, шлейфтердің, кабельдік желілердің, қосылыстардың және қолжетімді қабылдау-бақылау жабдығының жай-күйі тексеріледі.</w:t>
      </w:r>
    </w:p>
    <w:p>
      <w:pPr>
        <w:spacing w:after="60" w:line="252" w:lineRule="auto"/>
        <w:jc w:val="left"/>
      </w:pPr>
      <w:r>
        <w:rPr>
          <w:rFonts w:ascii="Arial" w:hAnsi="Arial" w:eastAsia="Arial"/>
          <w:b w:val="0"/>
          <w:i w:val="0"/>
        </w:rPr>
        <w:t>Тексеру нәтижелері бойынша Мердігер жұмыс істемейтін немесе дұрыс жұмыс істемейтін құрылғыларды, үзілістерді, қысқа тұйықталуларды, кабель зақымдарын, қосылыстардың бұзылуын және жүйенің жұмыс қабілетіне әсер ететін өзге де ақауларды анықтайды.</w:t>
      </w:r>
    </w:p>
    <w:p>
      <w:pPr>
        <w:spacing w:after="60" w:line="252" w:lineRule="auto"/>
        <w:jc w:val="left"/>
      </w:pPr>
      <w:r>
        <w:rPr>
          <w:rFonts w:ascii="Arial" w:hAnsi="Arial" w:eastAsia="Arial"/>
          <w:b w:val="0"/>
          <w:i w:val="0"/>
        </w:rPr>
        <w:t>Осы техникалық сипаттамада көзделген жөндеу, қалпына келтіру және қосымша жабдықтау көлеміне жататын барлық анықталған ақаулар мен кемшіліктерді Мердігер өз күшімен және өз қаражаты есебінен, Тапсырыс берушіге қосымша шығын ұсынбай жоюға міндетті. Егер анықталған ақауды жою үшін осы техникалық сипаттамада және шартта көзделмеген жұмыстарды орындау немесе жабдықты жеткізу объективті түрде қажет болса, Мердігер мұндай қосымша жұмыстарды орындауға дейін Тапсырыс берушіні жазбаша хабардар етуге және ақауды тексеру актісімен тіркеуге міндетті.</w:t>
      </w:r>
    </w:p>
    <w:p>
      <w:pPr>
        <w:spacing w:after="60" w:line="252" w:lineRule="auto"/>
        <w:jc w:val="left"/>
      </w:pPr>
      <w:r>
        <w:rPr>
          <w:rFonts w:ascii="Arial" w:hAnsi="Arial" w:eastAsia="Arial"/>
          <w:b w:val="0"/>
          <w:i w:val="0"/>
        </w:rPr>
        <w:t>Ақаулар жойылғаннан кейін қайта функционалдық тексеру жүргізіледі. Бастапқы тексеру нәтижелері, анықталған ақаулар, орындалған іс-шаралар және жүйенің қорытынды жай-күйі тексеру актісінде және атқарушылық құжаттамада көрсетіледі.</w:t>
      </w:r>
    </w:p>
    <w:p>
      <w:pPr>
        <w:spacing w:after="60" w:line="252" w:lineRule="auto"/>
        <w:jc w:val="left"/>
      </w:pPr>
      <w:r>
        <w:rPr>
          <w:rFonts w:ascii="Arial" w:hAnsi="Arial" w:eastAsia="Arial"/>
          <w:b/>
          <w:i w:val="0"/>
          <w:sz w:val="22"/>
        </w:rPr>
        <w:t>4. Жабдықтар мен материалдарға қойылатын талаптар</w:t>
      </w:r>
    </w:p>
    <w:p>
      <w:pPr>
        <w:spacing w:after="60" w:line="252" w:lineRule="auto"/>
        <w:jc w:val="left"/>
      </w:pPr>
      <w:r>
        <w:rPr>
          <w:rFonts w:ascii="Arial" w:hAnsi="Arial" w:eastAsia="Arial"/>
          <w:b w:val="0"/>
          <w:i w:val="0"/>
        </w:rPr>
        <w:t>Жеткізілетін барлық жабдық жаңа, бұрын пайдаланылмаған, зақымсыз және пайдалану іздерінсіз, мақсаты бойынша қолдануға жарамды әрі объектідегі қолданыстағы өрт дабылы жүйесімен үйлесімді болуы тиіс.</w:t>
      </w:r>
    </w:p>
    <w:p>
      <w:pPr>
        <w:spacing w:after="60" w:line="252" w:lineRule="auto"/>
        <w:jc w:val="left"/>
      </w:pPr>
      <w:r>
        <w:rPr>
          <w:rFonts w:ascii="Arial" w:hAnsi="Arial" w:eastAsia="Arial"/>
          <w:b w:val="0"/>
          <w:i w:val="0"/>
        </w:rPr>
        <w:t>Түтіндік хабарлағыштар түтін белгілерін автоматты түрде анықтауды және қолданыстағы шлейфте тиісті сигнал қалыптастыруды қамтамасыз етуі тиіс. Жылулық хабарлағыштар қолданылатын орындалым үшін көзделген температуралық жағдайлар туындағанда сигнал қалыптастыруы тиіс. Қол хабарлағыштары «Өрт» сигналын қолмен беруді қамтамасыз етуі тиіс.</w:t>
      </w:r>
    </w:p>
    <w:p>
      <w:pPr>
        <w:spacing w:after="60" w:line="252" w:lineRule="auto"/>
        <w:jc w:val="left"/>
      </w:pPr>
      <w:r>
        <w:rPr>
          <w:rFonts w:ascii="Arial" w:hAnsi="Arial" w:eastAsia="Arial"/>
          <w:b w:val="0"/>
          <w:i w:val="0"/>
        </w:rPr>
        <w:t>«Шығу-Выход» хабарлағыштары эвакуациялық шығу орнын анық көрсетуді және көзделген схемаға қосылғаннан кейін тұрақты жұмыс істеуді қамтамасыз етуі тиіс.</w:t>
      </w:r>
    </w:p>
    <w:p>
      <w:pPr>
        <w:spacing w:after="60" w:line="252" w:lineRule="auto"/>
        <w:jc w:val="left"/>
      </w:pPr>
      <w:r>
        <w:rPr>
          <w:rFonts w:ascii="Arial" w:hAnsi="Arial" w:eastAsia="Arial"/>
          <w:b w:val="0"/>
          <w:i w:val="0"/>
        </w:rPr>
        <w:t>Жеткізілетін жабдықтар мен материалдарға Мердігер міндетті техникалық реттеу талаптарына сәйкестігін растайтын құжаттарды, паспорттарды/нұсқаулықтарды және кепілдік құжаттарын, егер мұндай құжаттар заңнамада немесе өндірушіде көзделсе, Тапсырыс берушіге тапсырады.</w:t>
      </w:r>
    </w:p>
    <w:p>
      <w:pPr>
        <w:spacing w:after="60" w:line="252" w:lineRule="auto"/>
        <w:jc w:val="left"/>
      </w:pPr>
      <w:r>
        <w:rPr>
          <w:rFonts w:ascii="Arial" w:hAnsi="Arial" w:eastAsia="Arial"/>
          <w:b/>
          <w:i w:val="0"/>
          <w:sz w:val="22"/>
        </w:rPr>
        <w:t>5. Кабельдік желілер және монтаждау</w:t>
      </w:r>
    </w:p>
    <w:p>
      <w:pPr>
        <w:spacing w:after="60" w:line="252" w:lineRule="auto"/>
        <w:jc w:val="left"/>
      </w:pPr>
      <w:r>
        <w:rPr>
          <w:rFonts w:ascii="Arial" w:hAnsi="Arial" w:eastAsia="Arial"/>
          <w:b w:val="0"/>
          <w:i w:val="0"/>
        </w:rPr>
        <w:t>Жаңа кабельдік желілер механикалық қорғаныспен және сенімді бекітумен ұқыпты төселуі тиіс. Көзделген учаскелерде кабель жаңа кабель-арнада төселеді. Ашық қорғалмаған қосылыстарға және сенімсіз бұрауларға жол берілмейді.</w:t>
      </w:r>
    </w:p>
    <w:p>
      <w:pPr>
        <w:spacing w:after="60" w:line="252" w:lineRule="auto"/>
        <w:jc w:val="left"/>
      </w:pPr>
      <w:r>
        <w:rPr>
          <w:rFonts w:ascii="Arial" w:hAnsi="Arial" w:eastAsia="Arial"/>
          <w:b w:val="0"/>
          <w:i w:val="0"/>
        </w:rPr>
        <w:t>Мердігерге Тапсырыс берушінің жазбаша келісімінсіз жұмыс нысанасына қатысы жоқ объектінің бөгде инженерлік желілеріне араласуға, қолданыстағы электрлік, желілік және өзге коммуникацияларды зақымдауға, ауыстыруға, ажыратуға немесе өзгертуге тыйым салынады.</w:t>
      </w:r>
    </w:p>
    <w:p>
      <w:pPr>
        <w:spacing w:after="60" w:line="252" w:lineRule="auto"/>
        <w:jc w:val="left"/>
      </w:pPr>
      <w:r>
        <w:rPr>
          <w:rFonts w:ascii="Arial" w:hAnsi="Arial" w:eastAsia="Arial"/>
          <w:b w:val="0"/>
          <w:i w:val="0"/>
        </w:rPr>
        <w:t>Әр жұмыс ауысымынан кейін ашық учаскелер қауіпсіз күйге келтірілуі, кабель-арналар жабылуы, монтаждық қоқыс пен қаптама жиналып шығарылуы тиіс.</w:t>
      </w:r>
    </w:p>
    <w:p>
      <w:pPr>
        <w:spacing w:after="60" w:line="252" w:lineRule="auto"/>
        <w:jc w:val="left"/>
      </w:pPr>
      <w:r>
        <w:rPr>
          <w:rFonts w:ascii="Arial" w:hAnsi="Arial" w:eastAsia="Arial"/>
          <w:b/>
          <w:i w:val="0"/>
          <w:sz w:val="22"/>
        </w:rPr>
        <w:t>6. Жұмыстарды орындау тәртібі</w:t>
      </w:r>
    </w:p>
    <w:p>
      <w:pPr>
        <w:spacing w:after="60" w:line="252" w:lineRule="auto"/>
        <w:jc w:val="left"/>
      </w:pPr>
      <w:r>
        <w:rPr>
          <w:rFonts w:ascii="Arial" w:hAnsi="Arial" w:eastAsia="Arial"/>
          <w:b w:val="0"/>
          <w:i w:val="0"/>
        </w:rPr>
        <w:t>Объектідегі жұмыстар жұмыс күндері негізгі жұмыс/оқу процесі аяқталғаннан кейін сағат 18:30-дан 21:30-ға дейін, сондай-ақ демалыс күндері объектіге кіру уақытын Тапсырыс берушінің жауапты өкілімен алдын ала келісу арқылы орындалады.</w:t>
      </w:r>
    </w:p>
    <w:p>
      <w:pPr>
        <w:spacing w:after="60" w:line="252" w:lineRule="auto"/>
        <w:jc w:val="left"/>
      </w:pPr>
      <w:r>
        <w:rPr>
          <w:rFonts w:ascii="Arial" w:hAnsi="Arial" w:eastAsia="Arial"/>
          <w:b w:val="0"/>
          <w:i w:val="0"/>
        </w:rPr>
        <w:t>Жұмыстарды басқа уақытта орындауға тек Тапсырыс берушімен алдын ала келісілген жағдайда жол беріледі. Мердігер жұмыстарды объектінің қызметіне кедергі келтірмейтіндей ұйымдастыруға, адамдардың қауіпсіздігін және мүліктің сақталуын қамтамасыз етуге міндетті.</w:t>
      </w:r>
    </w:p>
    <w:p>
      <w:pPr>
        <w:spacing w:after="60" w:line="252" w:lineRule="auto"/>
        <w:jc w:val="left"/>
      </w:pPr>
      <w:r>
        <w:rPr>
          <w:rFonts w:ascii="Arial" w:hAnsi="Arial" w:eastAsia="Arial"/>
          <w:b/>
          <w:i w:val="0"/>
          <w:sz w:val="22"/>
        </w:rPr>
        <w:t>7. Қосу, баптау және функционалдық сынақтар</w:t>
      </w:r>
    </w:p>
    <w:p>
      <w:pPr>
        <w:spacing w:after="60" w:line="252" w:lineRule="auto"/>
        <w:jc w:val="left"/>
      </w:pPr>
      <w:r>
        <w:rPr>
          <w:rFonts w:ascii="Arial" w:hAnsi="Arial" w:eastAsia="Arial"/>
          <w:b w:val="0"/>
          <w:i w:val="0"/>
        </w:rPr>
        <w:t>Барлық орнатылған және ауыстырылған құрылғылар жүйенің нақты схемасы мен техникалық үйлесімділігі ескеріле отырып қолданыстағы жүйеге қосылады. Монтаж аяқталғаннан кейін Мердігер орнатылған түтіндік, жылулық және қол хабарлағыштарын, «Шығу-Выход» хабарлағыштарын, жаңадан төселген және қалпына келтірілген кабельдік желілерді және тиісті шлейфтерді баптауға және функционалдық тексеруге міндетті.</w:t>
      </w:r>
    </w:p>
    <w:p>
      <w:pPr>
        <w:spacing w:after="60" w:line="252" w:lineRule="auto"/>
        <w:jc w:val="left"/>
      </w:pPr>
      <w:r>
        <w:rPr>
          <w:rFonts w:ascii="Arial" w:hAnsi="Arial" w:eastAsia="Arial"/>
          <w:b w:val="0"/>
          <w:i w:val="0"/>
        </w:rPr>
        <w:t>Тексеру кезінде орындалған учаскелерде үзілістер мен қысқа тұйықталулардың болмауы, тексерілетін хабарлағыштардан сигналдардың дұрыс қалыптасуы, сигналдардың қабылдау-бақылау жабдығына дейін жетуі және көзделген схема шегінде хабарлағыштардың жұмыс қабілеті расталуы тиіс.</w:t>
      </w:r>
    </w:p>
    <w:p>
      <w:pPr>
        <w:spacing w:after="60" w:line="252" w:lineRule="auto"/>
        <w:jc w:val="left"/>
      </w:pPr>
      <w:r>
        <w:rPr>
          <w:rFonts w:ascii="Arial" w:hAnsi="Arial" w:eastAsia="Arial"/>
          <w:b w:val="0"/>
          <w:i w:val="0"/>
        </w:rPr>
        <w:t>Сынақтар кезінде анықталған және Мердігер орындаған жұмыстарға қатысты кемшіліктерді Мердігер жұмыс нәтижесін тапсырғанға дейін қосымша ақысыз жояды.</w:t>
      </w:r>
    </w:p>
    <w:p>
      <w:pPr>
        <w:spacing w:after="60" w:line="252" w:lineRule="auto"/>
        <w:jc w:val="left"/>
      </w:pPr>
      <w:r>
        <w:rPr>
          <w:rFonts w:ascii="Arial" w:hAnsi="Arial" w:eastAsia="Arial"/>
          <w:b/>
          <w:i w:val="0"/>
          <w:sz w:val="22"/>
        </w:rPr>
        <w:t>8. Рұқсат беру құжаттары</w:t>
      </w:r>
    </w:p>
    <w:p>
      <w:pPr>
        <w:spacing w:after="60" w:line="252" w:lineRule="auto"/>
        <w:jc w:val="left"/>
      </w:pPr>
      <w:r>
        <w:rPr>
          <w:rFonts w:ascii="Arial" w:hAnsi="Arial" w:eastAsia="Arial"/>
          <w:b w:val="0"/>
          <w:i w:val="0"/>
        </w:rPr>
        <w:t>Егер шарт бойынша орындалатын жұмыстар Қазақстан Республикасының заңнамасына сәйкес арнайы рұқсатты талап ететін қызметке жататын болса, Мердігерде Қазақстан Республикасының уәкілетті органы ведомствосы берген өрт автоматикасы жүйелерін монтаждау, баптау және техникалық қызмет көрсету қызметін жүзеге асыруға арналған қолданыстағы рұқсат болуы тиіс.</w:t>
      </w:r>
    </w:p>
    <w:p>
      <w:pPr>
        <w:spacing w:after="60" w:line="252" w:lineRule="auto"/>
        <w:jc w:val="left"/>
      </w:pPr>
      <w:r>
        <w:rPr>
          <w:rFonts w:ascii="Arial" w:hAnsi="Arial" w:eastAsia="Arial"/>
          <w:b w:val="0"/>
          <w:i w:val="0"/>
        </w:rPr>
        <w:t>Тапсырыс берушінің талабы бойынша Мердігер тиісті рұқсаттың жарамдылығын мемлекеттік ақпараттық жүйелер арқылы тексеруге мүмкіндік беретін мәліметтер мен құжаттарды ұсынады. Құжаттар жұмыстарды орындау кезеңінде жарамды болуы тиіс.</w:t>
      </w:r>
    </w:p>
    <w:p>
      <w:pPr>
        <w:spacing w:after="60" w:line="252" w:lineRule="auto"/>
        <w:jc w:val="left"/>
      </w:pPr>
      <w:r>
        <w:rPr>
          <w:rFonts w:ascii="Arial" w:hAnsi="Arial" w:eastAsia="Arial"/>
          <w:b w:val="0"/>
          <w:i w:val="0"/>
        </w:rPr>
        <w:t>Осы талап сатып алу құжаттамасында және Қазақстан Республикасының заңнамасында белгіленген тәртіппен көзделетін біліктілік талаптарын алмастырмайды және кеңейтпейді.</w:t>
      </w:r>
    </w:p>
    <w:p>
      <w:pPr>
        <w:spacing w:after="60" w:line="252" w:lineRule="auto"/>
        <w:jc w:val="left"/>
      </w:pPr>
      <w:r>
        <w:rPr>
          <w:rFonts w:ascii="Arial" w:hAnsi="Arial" w:eastAsia="Arial"/>
          <w:b/>
          <w:i w:val="0"/>
          <w:sz w:val="22"/>
        </w:rPr>
        <w:t>9. Атқарушылық құжаттама және орнату актісі</w:t>
      </w:r>
    </w:p>
    <w:p>
      <w:pPr>
        <w:spacing w:after="60" w:line="252" w:lineRule="auto"/>
        <w:jc w:val="left"/>
      </w:pPr>
      <w:r>
        <w:rPr>
          <w:rFonts w:ascii="Arial" w:hAnsi="Arial" w:eastAsia="Arial"/>
          <w:b w:val="0"/>
          <w:i w:val="0"/>
        </w:rPr>
        <w:t>Жұмыстар толық аяқталғаннан кейін Мердігер өрт дабылы жүйесін орнату, монтаждау, қосу, баптау және жұмыс қабілетін тексеру актісін рәсімдеп, Тапсырыс берушіге тапсыруға міндетті.</w:t>
      </w:r>
    </w:p>
    <w:p>
      <w:pPr>
        <w:spacing w:after="60" w:line="252" w:lineRule="auto"/>
        <w:jc w:val="left"/>
      </w:pPr>
      <w:r>
        <w:rPr>
          <w:rFonts w:ascii="Arial" w:hAnsi="Arial" w:eastAsia="Arial"/>
          <w:b w:val="0"/>
          <w:i w:val="0"/>
        </w:rPr>
        <w:t>Актіде мыналар көрсетілуі тиіс: объектінің атауы мен мекенжайы; шарттың нөмірі мен күні; жұмыстардың басталу және аяқталу күндері; нақты орнатылған және ауыстырылған жабдықтардың атауы, моделі, саны және болған жағдайда сериялық нөмірлері; жабдықтың орнатылған орындары; нақты төселген/қалпына келтірілген кабельдік желілер мен кабель-арналар туралы мәліметтер; шлейфтерді тексеру және функционалдық сынақ нәтижелері; тексеру барысында анықталған ақаулар және оларды жою бойынша орындалған іс-шаралар.</w:t>
      </w:r>
    </w:p>
    <w:p>
      <w:pPr>
        <w:spacing w:after="60" w:line="252" w:lineRule="auto"/>
        <w:jc w:val="left"/>
      </w:pPr>
      <w:r>
        <w:rPr>
          <w:rFonts w:ascii="Arial" w:hAnsi="Arial" w:eastAsia="Arial"/>
          <w:b w:val="0"/>
          <w:i w:val="0"/>
        </w:rPr>
        <w:t>Актіге мыналар қоса беріледі:</w:t>
      </w:r>
    </w:p>
    <w:p>
      <w:pPr>
        <w:spacing w:after="60" w:line="252" w:lineRule="auto"/>
        <w:jc w:val="left"/>
      </w:pPr>
      <w:r>
        <w:rPr>
          <w:rFonts w:ascii="Arial" w:hAnsi="Arial" w:eastAsia="Arial"/>
          <w:b w:val="0"/>
          <w:i w:val="0"/>
        </w:rPr>
        <w:t>1) нақты орнатылған жабдықтар мен пайдаланылған материалдардың ведомосы;</w:t>
      </w:r>
    </w:p>
    <w:p>
      <w:pPr>
        <w:spacing w:after="60" w:line="252" w:lineRule="auto"/>
        <w:jc w:val="left"/>
      </w:pPr>
      <w:r>
        <w:rPr>
          <w:rFonts w:ascii="Arial" w:hAnsi="Arial" w:eastAsia="Arial"/>
          <w:b w:val="0"/>
          <w:i w:val="0"/>
        </w:rPr>
        <w:t>2) нақты орындалған жұмыстар көлеміндегі орнатылған/ауыстырылған жабдықтардың орналасу және кабельдік трассалардың атқарушылық схемасы;</w:t>
      </w:r>
    </w:p>
    <w:p>
      <w:pPr>
        <w:spacing w:after="60" w:line="252" w:lineRule="auto"/>
        <w:jc w:val="left"/>
      </w:pPr>
      <w:r>
        <w:rPr>
          <w:rFonts w:ascii="Arial" w:hAnsi="Arial" w:eastAsia="Arial"/>
          <w:b w:val="0"/>
          <w:i w:val="0"/>
        </w:rPr>
        <w:t>3) анықталған ақаулар тізбесі және олардың жойылғаны туралы мәліметтері бар тексеру актісі;</w:t>
      </w:r>
    </w:p>
    <w:p>
      <w:pPr>
        <w:spacing w:after="60" w:line="252" w:lineRule="auto"/>
        <w:jc w:val="left"/>
      </w:pPr>
      <w:r>
        <w:rPr>
          <w:rFonts w:ascii="Arial" w:hAnsi="Arial" w:eastAsia="Arial"/>
          <w:b w:val="0"/>
          <w:i w:val="0"/>
        </w:rPr>
        <w:t>4) жұмыстар орындалғаннан кейін жүйені функционалдық тексеру хаттамасы/актісі;</w:t>
      </w:r>
    </w:p>
    <w:p>
      <w:pPr>
        <w:spacing w:after="60" w:line="252" w:lineRule="auto"/>
        <w:jc w:val="left"/>
      </w:pPr>
      <w:r>
        <w:rPr>
          <w:rFonts w:ascii="Arial" w:hAnsi="Arial" w:eastAsia="Arial"/>
          <w:b w:val="0"/>
          <w:i w:val="0"/>
        </w:rPr>
        <w:t>5) көзделген жағдайларда орнатылған жабдыққа сәйкестік құжаттары, паспорттар және кепілдік құжаттары;</w:t>
      </w:r>
    </w:p>
    <w:p>
      <w:pPr>
        <w:spacing w:after="60" w:line="252" w:lineRule="auto"/>
        <w:jc w:val="left"/>
      </w:pPr>
      <w:r>
        <w:rPr>
          <w:rFonts w:ascii="Arial" w:hAnsi="Arial" w:eastAsia="Arial"/>
          <w:b w:val="0"/>
          <w:i w:val="0"/>
        </w:rPr>
        <w:t>6) заңнама бойынша болуы талап етілген жағдайда өрт автоматикасы жүйелерін монтаждау, баптау және техникалық қызмет көрсету қызметін жүзеге асыруға арналған қолданыстағы рұқсат құжатының көшірмесі немесе ол туралы мәліметтер.</w:t>
      </w:r>
    </w:p>
    <w:p>
      <w:pPr>
        <w:spacing w:after="60" w:line="252" w:lineRule="auto"/>
        <w:jc w:val="left"/>
      </w:pPr>
      <w:r>
        <w:rPr>
          <w:rFonts w:ascii="Arial" w:hAnsi="Arial" w:eastAsia="Arial"/>
          <w:b w:val="0"/>
          <w:i w:val="0"/>
        </w:rPr>
        <w:t>Актіге монтаждау аяқталғаннан, шарттық көлемге жататын ескертулер жойылғаннан және функционалдық тексеру сәтті өткеннен кейін Мердігер мен Тапсырыс берушінің уәкілетті өкілдері қол қояды. Жабдықты монтаждамай, қоспай, тексермей және көзделген атқарушылық құжаттаманы тапсырмай жеткізу міндеттемелердің толық орындалуы болып есептелмейді.</w:t>
      </w:r>
    </w:p>
    <w:p>
      <w:pPr>
        <w:spacing w:after="60" w:line="252" w:lineRule="auto"/>
        <w:jc w:val="left"/>
      </w:pPr>
      <w:r>
        <w:rPr>
          <w:rFonts w:ascii="Arial" w:hAnsi="Arial" w:eastAsia="Arial"/>
          <w:b/>
          <w:i w:val="0"/>
          <w:sz w:val="22"/>
        </w:rPr>
        <w:t>10. Жұмыс нәтижесін қабылдау</w:t>
      </w:r>
    </w:p>
    <w:tbl>
      <w:tblPr>
        <w:tblStyle w:val="TableGrid"/>
        <w:tblW w:type="auto" w:w="0"/>
        <w:jc w:val="center"/>
        <w:tblLook w:firstColumn="1" w:firstRow="1" w:lastColumn="0" w:lastRow="0" w:noHBand="0" w:noVBand="1" w:val="04A0"/>
      </w:tblPr>
      <w:tblGrid>
        <w:gridCol w:w="3419"/>
        <w:gridCol w:w="3419"/>
        <w:gridCol w:w="3419"/>
      </w:tblGrid>
      <w:tr>
        <w:tc>
          <w:tcPr>
            <w:tcW w:type="dxa" w:w="3419"/>
            <w:vAlign w:val="center"/>
          </w:tcPr>
          <w:p>
            <w:r>
              <w:rPr>
                <w:rFonts w:ascii="Arial" w:hAnsi="Arial" w:eastAsia="Arial"/>
                <w:b/>
                <w:sz w:val="18"/>
              </w:rPr>
              <w:t>Тексеру</w:t>
            </w:r>
          </w:p>
        </w:tc>
        <w:tc>
          <w:tcPr>
            <w:tcW w:type="dxa" w:w="3419"/>
            <w:vAlign w:val="center"/>
          </w:tcPr>
          <w:p>
            <w:r>
              <w:rPr>
                <w:rFonts w:ascii="Arial" w:hAnsi="Arial" w:eastAsia="Arial"/>
                <w:b/>
                <w:sz w:val="18"/>
              </w:rPr>
              <w:t>Әдіс</w:t>
            </w:r>
          </w:p>
        </w:tc>
        <w:tc>
          <w:tcPr>
            <w:tcW w:type="dxa" w:w="3419"/>
            <w:vAlign w:val="center"/>
          </w:tcPr>
          <w:p>
            <w:r>
              <w:rPr>
                <w:rFonts w:ascii="Arial" w:hAnsi="Arial" w:eastAsia="Arial"/>
                <w:b/>
                <w:sz w:val="18"/>
              </w:rPr>
              <w:t>Қабылдау өлшемшарты</w:t>
            </w:r>
          </w:p>
        </w:tc>
      </w:tr>
      <w:tr>
        <w:tc>
          <w:tcPr>
            <w:tcW w:type="dxa" w:w="3419"/>
            <w:vAlign w:val="center"/>
          </w:tcPr>
          <w:p>
            <w:r>
              <w:rPr>
                <w:rFonts w:ascii="Arial" w:hAnsi="Arial" w:eastAsia="Arial"/>
                <w:sz w:val="18"/>
              </w:rPr>
              <w:t>Жиынтықтылық</w:t>
            </w:r>
          </w:p>
        </w:tc>
        <w:tc>
          <w:tcPr>
            <w:tcW w:type="dxa" w:w="3419"/>
            <w:vAlign w:val="center"/>
          </w:tcPr>
          <w:p>
            <w:r>
              <w:rPr>
                <w:rFonts w:ascii="Arial" w:hAnsi="Arial" w:eastAsia="Arial"/>
                <w:sz w:val="18"/>
              </w:rPr>
              <w:t>Нақты орнатылған жабдықтар мен материалдарды салыстыру</w:t>
            </w:r>
          </w:p>
        </w:tc>
        <w:tc>
          <w:tcPr>
            <w:tcW w:type="dxa" w:w="3419"/>
            <w:vAlign w:val="center"/>
          </w:tcPr>
          <w:p>
            <w:r>
              <w:rPr>
                <w:rFonts w:ascii="Arial" w:hAnsi="Arial" w:eastAsia="Arial"/>
                <w:sz w:val="18"/>
              </w:rPr>
              <w:t>Бекітілген көлемге және атқарушылық құжаттарға сәйкес келеді</w:t>
            </w:r>
          </w:p>
        </w:tc>
      </w:tr>
      <w:tr>
        <w:tc>
          <w:tcPr>
            <w:tcW w:type="dxa" w:w="3419"/>
            <w:vAlign w:val="center"/>
          </w:tcPr>
          <w:p>
            <w:r>
              <w:rPr>
                <w:rFonts w:ascii="Arial" w:hAnsi="Arial" w:eastAsia="Arial"/>
                <w:sz w:val="18"/>
              </w:rPr>
              <w:t>Кабельдік желілер</w:t>
            </w:r>
          </w:p>
        </w:tc>
        <w:tc>
          <w:tcPr>
            <w:tcW w:type="dxa" w:w="3419"/>
            <w:vAlign w:val="center"/>
          </w:tcPr>
          <w:p>
            <w:r>
              <w:rPr>
                <w:rFonts w:ascii="Arial" w:hAnsi="Arial" w:eastAsia="Arial"/>
                <w:sz w:val="18"/>
              </w:rPr>
              <w:t>Орындалған желілерді/шлейфтерді қарау және тексеру</w:t>
            </w:r>
          </w:p>
        </w:tc>
        <w:tc>
          <w:tcPr>
            <w:tcW w:type="dxa" w:w="3419"/>
            <w:vAlign w:val="center"/>
          </w:tcPr>
          <w:p>
            <w:r>
              <w:rPr>
                <w:rFonts w:ascii="Arial" w:hAnsi="Arial" w:eastAsia="Arial"/>
                <w:sz w:val="18"/>
              </w:rPr>
              <w:t>Орындалған учаскелерде үзілістер, қысқа тұйықталулар және қорғалмаған қосылыстар жоқ</w:t>
            </w:r>
          </w:p>
        </w:tc>
      </w:tr>
      <w:tr>
        <w:tc>
          <w:tcPr>
            <w:tcW w:type="dxa" w:w="3419"/>
            <w:vAlign w:val="center"/>
          </w:tcPr>
          <w:p>
            <w:r>
              <w:rPr>
                <w:rFonts w:ascii="Arial" w:hAnsi="Arial" w:eastAsia="Arial"/>
                <w:sz w:val="18"/>
              </w:rPr>
              <w:t>Автоматты хабарлағыштар</w:t>
            </w:r>
          </w:p>
        </w:tc>
        <w:tc>
          <w:tcPr>
            <w:tcW w:type="dxa" w:w="3419"/>
            <w:vAlign w:val="center"/>
          </w:tcPr>
          <w:p>
            <w:r>
              <w:rPr>
                <w:rFonts w:ascii="Arial" w:hAnsi="Arial" w:eastAsia="Arial"/>
                <w:sz w:val="18"/>
              </w:rPr>
              <w:t>Орнатылған/ауыстырылған құрылғыларды функционалдық тексеру</w:t>
            </w:r>
          </w:p>
        </w:tc>
        <w:tc>
          <w:tcPr>
            <w:tcW w:type="dxa" w:w="3419"/>
            <w:vAlign w:val="center"/>
          </w:tcPr>
          <w:p>
            <w:r>
              <w:rPr>
                <w:rFonts w:ascii="Arial" w:hAnsi="Arial" w:eastAsia="Arial"/>
                <w:sz w:val="18"/>
              </w:rPr>
              <w:t>Сигнал дұрыс қалыптасады және қабылдау-бақылау жабдығына дейін жетеді</w:t>
            </w:r>
          </w:p>
        </w:tc>
      </w:tr>
      <w:tr>
        <w:tc>
          <w:tcPr>
            <w:tcW w:type="dxa" w:w="3419"/>
            <w:vAlign w:val="center"/>
          </w:tcPr>
          <w:p>
            <w:r>
              <w:rPr>
                <w:rFonts w:ascii="Arial" w:hAnsi="Arial" w:eastAsia="Arial"/>
                <w:sz w:val="18"/>
              </w:rPr>
              <w:t>Қол хабарлағыштары</w:t>
            </w:r>
          </w:p>
        </w:tc>
        <w:tc>
          <w:tcPr>
            <w:tcW w:type="dxa" w:w="3419"/>
            <w:vAlign w:val="center"/>
          </w:tcPr>
          <w:p>
            <w:r>
              <w:rPr>
                <w:rFonts w:ascii="Arial" w:hAnsi="Arial" w:eastAsia="Arial"/>
                <w:sz w:val="18"/>
              </w:rPr>
              <w:t>Функционалдық іске қосу</w:t>
            </w:r>
          </w:p>
        </w:tc>
        <w:tc>
          <w:tcPr>
            <w:tcW w:type="dxa" w:w="3419"/>
            <w:vAlign w:val="center"/>
          </w:tcPr>
          <w:p>
            <w:r>
              <w:rPr>
                <w:rFonts w:ascii="Arial" w:hAnsi="Arial" w:eastAsia="Arial"/>
                <w:sz w:val="18"/>
              </w:rPr>
              <w:t>«Өрт» сигналы дұрыс қалыптасады</w:t>
            </w:r>
          </w:p>
        </w:tc>
      </w:tr>
      <w:tr>
        <w:tc>
          <w:tcPr>
            <w:tcW w:type="dxa" w:w="3419"/>
            <w:vAlign w:val="center"/>
          </w:tcPr>
          <w:p>
            <w:r>
              <w:rPr>
                <w:rFonts w:ascii="Arial" w:hAnsi="Arial" w:eastAsia="Arial"/>
                <w:sz w:val="18"/>
              </w:rPr>
              <w:t>«Шығу-Выход» хабарлағыштары</w:t>
            </w:r>
          </w:p>
        </w:tc>
        <w:tc>
          <w:tcPr>
            <w:tcW w:type="dxa" w:w="3419"/>
            <w:vAlign w:val="center"/>
          </w:tcPr>
          <w:p>
            <w:r>
              <w:rPr>
                <w:rFonts w:ascii="Arial" w:hAnsi="Arial" w:eastAsia="Arial"/>
                <w:sz w:val="18"/>
              </w:rPr>
              <w:t>Көзбен шолу және функционалдық тексеру</w:t>
            </w:r>
          </w:p>
        </w:tc>
        <w:tc>
          <w:tcPr>
            <w:tcW w:type="dxa" w:w="3419"/>
            <w:vAlign w:val="center"/>
          </w:tcPr>
          <w:p>
            <w:r>
              <w:rPr>
                <w:rFonts w:ascii="Arial" w:hAnsi="Arial" w:eastAsia="Arial"/>
                <w:sz w:val="18"/>
              </w:rPr>
              <w:t>Барлық орнатылған хабарлағыштар жұмысқа қабілетті</w:t>
            </w:r>
          </w:p>
        </w:tc>
      </w:tr>
      <w:tr>
        <w:tc>
          <w:tcPr>
            <w:tcW w:type="dxa" w:w="3419"/>
            <w:vAlign w:val="center"/>
          </w:tcPr>
          <w:p>
            <w:r>
              <w:rPr>
                <w:rFonts w:ascii="Arial" w:hAnsi="Arial" w:eastAsia="Arial"/>
                <w:sz w:val="18"/>
              </w:rPr>
              <w:t>Атқарушылық құжаттама</w:t>
            </w:r>
          </w:p>
        </w:tc>
        <w:tc>
          <w:tcPr>
            <w:tcW w:type="dxa" w:w="3419"/>
            <w:vAlign w:val="center"/>
          </w:tcPr>
          <w:p>
            <w:r>
              <w:rPr>
                <w:rFonts w:ascii="Arial" w:hAnsi="Arial" w:eastAsia="Arial"/>
                <w:sz w:val="18"/>
              </w:rPr>
              <w:t>Құжаттар жиынтығын салыстыру</w:t>
            </w:r>
          </w:p>
        </w:tc>
        <w:tc>
          <w:tcPr>
            <w:tcW w:type="dxa" w:w="3419"/>
            <w:vAlign w:val="center"/>
          </w:tcPr>
          <w:p>
            <w:r>
              <w:rPr>
                <w:rFonts w:ascii="Arial" w:hAnsi="Arial" w:eastAsia="Arial"/>
                <w:sz w:val="18"/>
              </w:rPr>
              <w:t>Көзделген құжаттардың толық жиынтығы Тапсырыс берушіге тапсырылған</w:t>
            </w:r>
          </w:p>
        </w:tc>
      </w:tr>
    </w:tbl>
    <w:p>
      <w:pPr>
        <w:spacing w:after="60" w:line="252" w:lineRule="auto"/>
        <w:jc w:val="left"/>
      </w:pPr>
      <w:r>
        <w:rPr>
          <w:rFonts w:ascii="Arial" w:hAnsi="Arial" w:eastAsia="Arial"/>
          <w:b/>
          <w:i w:val="0"/>
          <w:sz w:val="22"/>
        </w:rPr>
        <w:t>11. Кепілдік</w:t>
      </w:r>
    </w:p>
    <w:p>
      <w:pPr>
        <w:spacing w:after="60" w:line="252" w:lineRule="auto"/>
        <w:jc w:val="left"/>
      </w:pPr>
      <w:r>
        <w:rPr>
          <w:rFonts w:ascii="Arial" w:hAnsi="Arial" w:eastAsia="Arial"/>
          <w:b w:val="0"/>
          <w:i w:val="0"/>
        </w:rPr>
        <w:t>Орындалған монтаждау, жөндеу, қалпына келтіру және іске қосу-баптау жұмыстарына, сондай-ақ жұмыстар құрамында жеткізілген жабдыққа кепілдік мерзімі қорытынды орындалған жұмыстар актісіне қол қойылған күннен бастап кемінде 12 айды құрайды, егер жабдық өндірушісі бұдан ұзақ кепілдік мерзімін белгілемесе.</w:t>
      </w:r>
    </w:p>
    <w:p>
      <w:pPr>
        <w:spacing w:after="60" w:line="252" w:lineRule="auto"/>
        <w:jc w:val="left"/>
      </w:pPr>
      <w:r>
        <w:rPr>
          <w:rFonts w:ascii="Arial" w:hAnsi="Arial" w:eastAsia="Arial"/>
          <w:b w:val="0"/>
          <w:i w:val="0"/>
        </w:rPr>
        <w:t>Кепілдік кезеңінде Мердігердің жұмыстарды тиісінше орындамауы немесе өзі жеткізген жабдықтың ақауы салдарынан туындаған кемшіліктерді Мердігер өз күшімен және өз қаражаты есебінен жояды.</w:t>
      </w:r>
    </w:p>
    <w:p>
      <w:pPr>
        <w:spacing w:after="60" w:line="252" w:lineRule="auto"/>
        <w:jc w:val="left"/>
      </w:pPr>
      <w:r>
        <w:rPr>
          <w:rFonts w:ascii="Arial" w:hAnsi="Arial" w:eastAsia="Arial"/>
          <w:b/>
          <w:i w:val="0"/>
          <w:sz w:val="22"/>
        </w:rPr>
        <w:t>12. Соңғы нәтижеге қойылатын талаптар</w:t>
      </w:r>
    </w:p>
    <w:p>
      <w:pPr>
        <w:spacing w:after="60" w:line="252" w:lineRule="auto"/>
        <w:jc w:val="left"/>
      </w:pPr>
      <w:r>
        <w:rPr>
          <w:rFonts w:ascii="Arial" w:hAnsi="Arial" w:eastAsia="Arial"/>
          <w:b w:val="0"/>
          <w:i w:val="0"/>
        </w:rPr>
        <w:t>Тексеру жүргізілгеннен, көзделген жөндеу, қалпына келтіру және қосымша жабдықтау көлемі орындалғаннан, жабдық монтаждалып және қосылғаннан, шарттық көлемге жататын анықталған ақаулар жойылғаннан, функционалдық сынақтар жүргізілгеннен және Тапсырыс берушіге көзделген атқарушылық құжаттаманың толық жиынтығы тапсырылғаннан кейін жұмыстар орындалды деп есептеледі.</w:t>
      </w:r>
    </w:p>
    <w:p>
      <w:pPr>
        <w:spacing w:after="60" w:line="252" w:lineRule="auto"/>
        <w:jc w:val="left"/>
      </w:pPr>
      <w:r>
        <w:rPr>
          <w:rFonts w:ascii="Arial" w:hAnsi="Arial" w:eastAsia="Arial"/>
          <w:b w:val="0"/>
          <w:i w:val="0"/>
        </w:rPr>
        <w:t>Шартты орындаудың қорытынды нәтижесі осы техникалық сипаттамада көзделген жұмыс көлемі шегіндегі жарамды және жұмысқа қабілетті өрт дабылы жүйесі болуы тиіс.</w:t>
      </w:r>
    </w:p>
    <w:p>
      <w:pPr>
        <w:spacing w:after="60" w:line="252" w:lineRule="auto"/>
        <w:jc w:val="left"/>
      </w:pPr>
      <w:r>
        <w:rPr>
          <w:rFonts w:ascii="Arial" w:hAnsi="Arial" w:eastAsia="Arial"/>
          <w:b w:val="0"/>
          <w:i/>
          <w:sz w:val="18"/>
        </w:rPr>
        <w:t>Тапсырыс берушіге жариялау алдындағы ескерту: сатып алу нысанасының атауы мен түрінің, ЕНС ТРУ кодының, жұмыс көлемінің және жұмыстарды орындау негізінің жылдық жоспар мен шарт жобасының деректеріне сәйкестігін тексеру қажет. Егер нақты жұмыстар жобалық құжаттаманы талап етсе, сатып алу құжаттамасы Қазақстан Республикасының қолданылатын заңнама талаптарына сәйкес келтірілуі тиіс.</w:t>
      </w:r>
    </w:p>
    <w:sectPr w:rsidR="00FC693F" w:rsidRPr="0006063C" w:rsidSect="00034616">
      <w:pgSz w:w="12240" w:h="15840"/>
      <w:pgMar w:top="964" w:right="850"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