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05A731">
      <w:pPr>
        <w:pStyle w:val="5"/>
        <w:jc w:val="center"/>
        <w:rPr>
          <w:rFonts w:ascii="Times New Roman" w:hAnsi="Times New Roman"/>
          <w:b/>
          <w:sz w:val="28"/>
          <w:szCs w:val="28"/>
          <w:lang w:eastAsia="ru-RU"/>
        </w:rPr>
      </w:pPr>
      <w:r>
        <w:rPr>
          <w:rFonts w:ascii="Times New Roman" w:hAnsi="Times New Roman"/>
          <w:b/>
          <w:sz w:val="28"/>
          <w:szCs w:val="28"/>
          <w:lang w:eastAsia="ru-RU"/>
        </w:rPr>
        <w:t>Техническая спецификация</w:t>
      </w:r>
    </w:p>
    <w:p w14:paraId="2B649DDF">
      <w:pPr>
        <w:pStyle w:val="5"/>
        <w:jc w:val="center"/>
        <w:rPr>
          <w:rFonts w:ascii="Times New Roman" w:hAnsi="Times New Roman"/>
          <w:b/>
          <w:sz w:val="28"/>
          <w:szCs w:val="28"/>
          <w:lang w:val="kk-KZ" w:eastAsia="ru-RU"/>
        </w:rPr>
      </w:pPr>
      <w:r>
        <w:rPr>
          <w:rFonts w:ascii="Times New Roman" w:hAnsi="Times New Roman"/>
          <w:b/>
          <w:sz w:val="28"/>
          <w:szCs w:val="28"/>
          <w:lang w:eastAsia="ru-RU"/>
        </w:rPr>
        <w:t>на выполнение услуг по проведению обработки конструкций чердачных покрытий огнезащитным составом и с предоставлением протокола контрольных испытаний по определению качества огнезащитной обработки объектов Г</w:t>
      </w:r>
      <w:r>
        <w:rPr>
          <w:rFonts w:ascii="Times New Roman" w:hAnsi="Times New Roman"/>
          <w:b/>
          <w:sz w:val="28"/>
          <w:szCs w:val="28"/>
          <w:lang w:val="kk-KZ" w:eastAsia="ru-RU"/>
        </w:rPr>
        <w:t>осударственное</w:t>
      </w:r>
      <w:r>
        <w:rPr>
          <w:rFonts w:hint="default" w:ascii="Times New Roman" w:hAnsi="Times New Roman"/>
          <w:b/>
          <w:sz w:val="28"/>
          <w:szCs w:val="28"/>
          <w:lang w:val="en-US" w:eastAsia="ru-RU"/>
        </w:rPr>
        <w:t xml:space="preserve"> к</w:t>
      </w:r>
      <w:r>
        <w:rPr>
          <w:rFonts w:ascii="Times New Roman" w:hAnsi="Times New Roman"/>
          <w:b/>
          <w:sz w:val="28"/>
          <w:szCs w:val="28"/>
          <w:lang w:val="kk-KZ" w:eastAsia="ru-RU"/>
        </w:rPr>
        <w:t>оммунальное казенное предприятие «Алматинский областной колледж инновационных технологий в сфере сервиса и питания» государственного учреждения Управление образования Алматинской области</w:t>
      </w:r>
    </w:p>
    <w:p w14:paraId="02DAE560">
      <w:pPr>
        <w:pStyle w:val="5"/>
        <w:jc w:val="center"/>
        <w:rPr>
          <w:rFonts w:ascii="Times New Roman" w:hAnsi="Times New Roman"/>
          <w:b/>
          <w:sz w:val="28"/>
          <w:szCs w:val="28"/>
          <w:lang w:val="kk-KZ"/>
        </w:rPr>
      </w:pPr>
    </w:p>
    <w:p w14:paraId="490560DC">
      <w:pPr>
        <w:spacing w:after="0"/>
        <w:rPr>
          <w:rFonts w:ascii="Times New Roman" w:hAnsi="Times New Roman"/>
          <w:b/>
          <w:sz w:val="28"/>
          <w:szCs w:val="28"/>
          <w:lang w:val="kk-KZ"/>
        </w:rPr>
      </w:pPr>
      <w:r>
        <w:rPr>
          <w:rFonts w:ascii="Times New Roman" w:hAnsi="Times New Roman"/>
          <w:b/>
          <w:sz w:val="28"/>
          <w:szCs w:val="28"/>
        </w:rPr>
        <w:t xml:space="preserve">Юридический адрес: г. </w:t>
      </w:r>
      <w:r>
        <w:rPr>
          <w:rFonts w:ascii="Times New Roman" w:hAnsi="Times New Roman"/>
          <w:b/>
          <w:sz w:val="28"/>
          <w:szCs w:val="28"/>
          <w:lang w:val="kk-KZ"/>
        </w:rPr>
        <w:t>Алматы, пр. Райымбека 480а</w:t>
      </w:r>
    </w:p>
    <w:p w14:paraId="6CD0C3C2">
      <w:pPr>
        <w:spacing w:after="0"/>
        <w:rPr>
          <w:rFonts w:ascii="Times New Roman" w:hAnsi="Times New Roman"/>
          <w:b/>
          <w:sz w:val="28"/>
          <w:szCs w:val="28"/>
        </w:rPr>
      </w:pPr>
      <w:r>
        <w:rPr>
          <w:rFonts w:ascii="Times New Roman" w:hAnsi="Times New Roman"/>
          <w:b/>
          <w:sz w:val="28"/>
          <w:szCs w:val="28"/>
        </w:rPr>
        <w:t xml:space="preserve">Наименование гос.закупок: Обработка деревянных конструкций противопожарной смесью. Площадь </w:t>
      </w:r>
      <w:r>
        <w:rPr>
          <w:rFonts w:ascii="Times New Roman" w:hAnsi="Times New Roman"/>
          <w:b/>
          <w:sz w:val="28"/>
          <w:szCs w:val="28"/>
          <w:lang w:val="kk-KZ"/>
        </w:rPr>
        <w:t xml:space="preserve">3500 </w:t>
      </w:r>
      <w:r>
        <w:rPr>
          <w:rFonts w:ascii="Times New Roman" w:hAnsi="Times New Roman"/>
          <w:b/>
          <w:sz w:val="28"/>
          <w:szCs w:val="28"/>
        </w:rPr>
        <w:t>кв. м</w:t>
      </w:r>
    </w:p>
    <w:p w14:paraId="4B923022">
      <w:pPr>
        <w:pStyle w:val="5"/>
        <w:jc w:val="center"/>
        <w:rPr>
          <w:rFonts w:ascii="Times New Roman" w:hAnsi="Times New Roman"/>
          <w:b/>
          <w:sz w:val="18"/>
          <w:szCs w:val="18"/>
          <w:lang w:val="kk-KZ"/>
        </w:rPr>
      </w:pPr>
    </w:p>
    <w:p w14:paraId="7E9E5B16">
      <w:pPr>
        <w:pStyle w:val="5"/>
        <w:jc w:val="center"/>
        <w:rPr>
          <w:rFonts w:ascii="Times New Roman" w:hAnsi="Times New Roman"/>
          <w:b/>
          <w:sz w:val="28"/>
          <w:szCs w:val="28"/>
          <w:lang w:val="kk-KZ" w:eastAsia="ru-RU"/>
        </w:rPr>
      </w:pPr>
    </w:p>
    <w:p w14:paraId="14B9528A">
      <w:pPr>
        <w:pStyle w:val="5"/>
        <w:jc w:val="center"/>
        <w:rPr>
          <w:rFonts w:ascii="Times New Roman" w:hAnsi="Times New Roman"/>
          <w:b/>
          <w:sz w:val="28"/>
          <w:szCs w:val="28"/>
          <w:lang w:eastAsia="ru-RU"/>
        </w:rPr>
      </w:pPr>
    </w:p>
    <w:tbl>
      <w:tblPr>
        <w:tblStyle w:val="4"/>
        <w:tblW w:w="978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6376"/>
        <w:gridCol w:w="1276"/>
        <w:gridCol w:w="1276"/>
      </w:tblGrid>
      <w:tr w14:paraId="50509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3B6B7E8A">
            <w:pPr>
              <w:pStyle w:val="5"/>
              <w:jc w:val="center"/>
              <w:rPr>
                <w:rFonts w:ascii="Times New Roman" w:hAnsi="Times New Roman"/>
                <w:b/>
                <w:sz w:val="28"/>
                <w:szCs w:val="28"/>
              </w:rPr>
            </w:pPr>
            <w:r>
              <w:rPr>
                <w:rFonts w:ascii="Times New Roman" w:hAnsi="Times New Roman"/>
                <w:b/>
                <w:sz w:val="28"/>
                <w:szCs w:val="28"/>
              </w:rPr>
              <w:t>№п\п</w:t>
            </w:r>
          </w:p>
        </w:tc>
        <w:tc>
          <w:tcPr>
            <w:tcW w:w="6380" w:type="dxa"/>
            <w:tcBorders>
              <w:top w:val="single" w:color="auto" w:sz="4" w:space="0"/>
              <w:left w:val="single" w:color="auto" w:sz="4" w:space="0"/>
              <w:bottom w:val="single" w:color="auto" w:sz="4" w:space="0"/>
              <w:right w:val="single" w:color="auto" w:sz="4" w:space="0"/>
            </w:tcBorders>
          </w:tcPr>
          <w:p w14:paraId="4EA0DF4C">
            <w:pPr>
              <w:pStyle w:val="5"/>
              <w:jc w:val="center"/>
              <w:rPr>
                <w:rFonts w:ascii="Times New Roman" w:hAnsi="Times New Roman"/>
                <w:b/>
                <w:sz w:val="28"/>
                <w:szCs w:val="28"/>
              </w:rPr>
            </w:pPr>
            <w:r>
              <w:rPr>
                <w:rFonts w:ascii="Times New Roman" w:hAnsi="Times New Roman"/>
                <w:b/>
                <w:sz w:val="28"/>
                <w:szCs w:val="28"/>
              </w:rPr>
              <w:t>Наименование мероприятий</w:t>
            </w:r>
          </w:p>
        </w:tc>
        <w:tc>
          <w:tcPr>
            <w:tcW w:w="1277" w:type="dxa"/>
            <w:tcBorders>
              <w:top w:val="single" w:color="auto" w:sz="4" w:space="0"/>
              <w:left w:val="single" w:color="auto" w:sz="4" w:space="0"/>
              <w:bottom w:val="single" w:color="auto" w:sz="4" w:space="0"/>
              <w:right w:val="single" w:color="auto" w:sz="4" w:space="0"/>
            </w:tcBorders>
          </w:tcPr>
          <w:p w14:paraId="0A096E90">
            <w:pPr>
              <w:pStyle w:val="5"/>
              <w:jc w:val="center"/>
              <w:rPr>
                <w:rFonts w:ascii="Times New Roman" w:hAnsi="Times New Roman"/>
                <w:b/>
                <w:sz w:val="28"/>
                <w:szCs w:val="28"/>
              </w:rPr>
            </w:pPr>
            <w:r>
              <w:rPr>
                <w:rFonts w:ascii="Times New Roman" w:hAnsi="Times New Roman"/>
                <w:b/>
                <w:sz w:val="28"/>
                <w:szCs w:val="28"/>
              </w:rPr>
              <w:t>Ед.</w:t>
            </w:r>
          </w:p>
          <w:p w14:paraId="277C12CC">
            <w:pPr>
              <w:pStyle w:val="5"/>
              <w:jc w:val="center"/>
              <w:rPr>
                <w:rFonts w:ascii="Times New Roman" w:hAnsi="Times New Roman"/>
                <w:b/>
                <w:sz w:val="28"/>
                <w:szCs w:val="28"/>
              </w:rPr>
            </w:pPr>
            <w:r>
              <w:rPr>
                <w:rFonts w:ascii="Times New Roman" w:hAnsi="Times New Roman"/>
                <w:b/>
                <w:sz w:val="28"/>
                <w:szCs w:val="28"/>
              </w:rPr>
              <w:t>изм</w:t>
            </w:r>
          </w:p>
        </w:tc>
        <w:tc>
          <w:tcPr>
            <w:tcW w:w="1277" w:type="dxa"/>
            <w:tcBorders>
              <w:top w:val="single" w:color="auto" w:sz="4" w:space="0"/>
              <w:left w:val="single" w:color="auto" w:sz="4" w:space="0"/>
              <w:bottom w:val="single" w:color="auto" w:sz="4" w:space="0"/>
              <w:right w:val="single" w:color="auto" w:sz="4" w:space="0"/>
            </w:tcBorders>
          </w:tcPr>
          <w:p w14:paraId="10C9DB30">
            <w:pPr>
              <w:pStyle w:val="5"/>
              <w:jc w:val="center"/>
              <w:rPr>
                <w:rFonts w:ascii="Times New Roman" w:hAnsi="Times New Roman"/>
                <w:b/>
                <w:sz w:val="28"/>
                <w:szCs w:val="28"/>
              </w:rPr>
            </w:pPr>
            <w:r>
              <w:rPr>
                <w:rFonts w:ascii="Times New Roman" w:hAnsi="Times New Roman"/>
                <w:b/>
                <w:sz w:val="28"/>
                <w:szCs w:val="28"/>
              </w:rPr>
              <w:t>Коли-</w:t>
            </w:r>
          </w:p>
          <w:p w14:paraId="0BA484F3">
            <w:pPr>
              <w:pStyle w:val="5"/>
              <w:jc w:val="center"/>
              <w:rPr>
                <w:rFonts w:ascii="Times New Roman" w:hAnsi="Times New Roman"/>
                <w:b/>
                <w:sz w:val="28"/>
                <w:szCs w:val="28"/>
              </w:rPr>
            </w:pPr>
            <w:r>
              <w:rPr>
                <w:rFonts w:ascii="Times New Roman" w:hAnsi="Times New Roman"/>
                <w:b/>
                <w:sz w:val="28"/>
                <w:szCs w:val="28"/>
              </w:rPr>
              <w:t>чество</w:t>
            </w:r>
          </w:p>
        </w:tc>
      </w:tr>
      <w:tr w14:paraId="6F7C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18FBA290">
            <w:pPr>
              <w:pStyle w:val="5"/>
              <w:jc w:val="center"/>
              <w:rPr>
                <w:rFonts w:ascii="Times New Roman" w:hAnsi="Times New Roman"/>
                <w:b/>
                <w:sz w:val="28"/>
                <w:szCs w:val="28"/>
              </w:rPr>
            </w:pPr>
            <w:r>
              <w:rPr>
                <w:rFonts w:ascii="Times New Roman" w:hAnsi="Times New Roman"/>
                <w:b/>
                <w:sz w:val="28"/>
                <w:szCs w:val="28"/>
              </w:rPr>
              <w:t>1</w:t>
            </w:r>
          </w:p>
        </w:tc>
        <w:tc>
          <w:tcPr>
            <w:tcW w:w="6380" w:type="dxa"/>
            <w:tcBorders>
              <w:top w:val="single" w:color="auto" w:sz="4" w:space="0"/>
              <w:left w:val="single" w:color="auto" w:sz="4" w:space="0"/>
              <w:bottom w:val="single" w:color="auto" w:sz="4" w:space="0"/>
              <w:right w:val="single" w:color="auto" w:sz="4" w:space="0"/>
            </w:tcBorders>
          </w:tcPr>
          <w:p w14:paraId="625B384F">
            <w:pPr>
              <w:pStyle w:val="5"/>
              <w:jc w:val="center"/>
              <w:rPr>
                <w:rFonts w:ascii="Times New Roman" w:hAnsi="Times New Roman"/>
                <w:b/>
                <w:sz w:val="28"/>
                <w:szCs w:val="28"/>
              </w:rPr>
            </w:pPr>
            <w:r>
              <w:rPr>
                <w:rFonts w:ascii="Times New Roman" w:hAnsi="Times New Roman"/>
                <w:b/>
                <w:sz w:val="28"/>
                <w:szCs w:val="28"/>
              </w:rPr>
              <w:t>2</w:t>
            </w:r>
          </w:p>
        </w:tc>
        <w:tc>
          <w:tcPr>
            <w:tcW w:w="1277" w:type="dxa"/>
            <w:tcBorders>
              <w:top w:val="single" w:color="auto" w:sz="4" w:space="0"/>
              <w:left w:val="single" w:color="auto" w:sz="4" w:space="0"/>
              <w:bottom w:val="single" w:color="auto" w:sz="4" w:space="0"/>
              <w:right w:val="single" w:color="auto" w:sz="4" w:space="0"/>
            </w:tcBorders>
          </w:tcPr>
          <w:p w14:paraId="2F72F38D">
            <w:pPr>
              <w:pStyle w:val="5"/>
              <w:jc w:val="center"/>
              <w:rPr>
                <w:rFonts w:ascii="Times New Roman" w:hAnsi="Times New Roman"/>
                <w:b/>
                <w:sz w:val="28"/>
                <w:szCs w:val="28"/>
              </w:rPr>
            </w:pPr>
            <w:r>
              <w:rPr>
                <w:rFonts w:ascii="Times New Roman" w:hAnsi="Times New Roman"/>
                <w:b/>
                <w:sz w:val="28"/>
                <w:szCs w:val="28"/>
              </w:rPr>
              <w:t>3</w:t>
            </w:r>
          </w:p>
        </w:tc>
        <w:tc>
          <w:tcPr>
            <w:tcW w:w="1277" w:type="dxa"/>
            <w:tcBorders>
              <w:top w:val="single" w:color="auto" w:sz="4" w:space="0"/>
              <w:left w:val="single" w:color="auto" w:sz="4" w:space="0"/>
              <w:bottom w:val="single" w:color="auto" w:sz="4" w:space="0"/>
              <w:right w:val="single" w:color="auto" w:sz="4" w:space="0"/>
            </w:tcBorders>
          </w:tcPr>
          <w:p w14:paraId="533A409D">
            <w:pPr>
              <w:pStyle w:val="5"/>
              <w:jc w:val="center"/>
              <w:rPr>
                <w:rFonts w:ascii="Times New Roman" w:hAnsi="Times New Roman"/>
                <w:b/>
                <w:sz w:val="28"/>
                <w:szCs w:val="28"/>
              </w:rPr>
            </w:pPr>
            <w:r>
              <w:rPr>
                <w:rFonts w:ascii="Times New Roman" w:hAnsi="Times New Roman"/>
                <w:b/>
                <w:sz w:val="28"/>
                <w:szCs w:val="28"/>
              </w:rPr>
              <w:t>4</w:t>
            </w:r>
          </w:p>
        </w:tc>
      </w:tr>
      <w:tr w14:paraId="31CB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59E5A519">
            <w:pPr>
              <w:pStyle w:val="5"/>
              <w:rPr>
                <w:rFonts w:ascii="Times New Roman" w:hAnsi="Times New Roman"/>
                <w:sz w:val="28"/>
                <w:szCs w:val="28"/>
              </w:rPr>
            </w:pPr>
            <w:r>
              <w:rPr>
                <w:rFonts w:ascii="Times New Roman" w:hAnsi="Times New Roman"/>
                <w:sz w:val="28"/>
                <w:szCs w:val="28"/>
              </w:rPr>
              <w:t>1</w:t>
            </w:r>
          </w:p>
        </w:tc>
        <w:tc>
          <w:tcPr>
            <w:tcW w:w="6380" w:type="dxa"/>
            <w:tcBorders>
              <w:top w:val="single" w:color="auto" w:sz="4" w:space="0"/>
              <w:left w:val="single" w:color="auto" w:sz="4" w:space="0"/>
              <w:bottom w:val="single" w:color="auto" w:sz="4" w:space="0"/>
              <w:right w:val="single" w:color="auto" w:sz="4" w:space="0"/>
            </w:tcBorders>
          </w:tcPr>
          <w:p w14:paraId="387545A7">
            <w:pPr>
              <w:pStyle w:val="5"/>
              <w:rPr>
                <w:rFonts w:ascii="Times New Roman" w:hAnsi="Times New Roman"/>
                <w:sz w:val="28"/>
                <w:szCs w:val="28"/>
              </w:rPr>
            </w:pPr>
            <w:r>
              <w:rPr>
                <w:rFonts w:ascii="Times New Roman" w:hAnsi="Times New Roman"/>
                <w:sz w:val="28"/>
                <w:szCs w:val="28"/>
              </w:rPr>
              <w:t>Выполнение работ по проведению огнезащитной обработки конструкций чердачных покрытий.</w:t>
            </w:r>
          </w:p>
          <w:p w14:paraId="43E97AC2">
            <w:pPr>
              <w:pStyle w:val="5"/>
              <w:rPr>
                <w:rFonts w:ascii="Times New Roman" w:hAnsi="Times New Roman"/>
                <w:sz w:val="28"/>
                <w:szCs w:val="28"/>
              </w:rPr>
            </w:pPr>
            <w:r>
              <w:rPr>
                <w:rFonts w:ascii="Times New Roman" w:hAnsi="Times New Roman"/>
                <w:sz w:val="28"/>
                <w:szCs w:val="28"/>
              </w:rPr>
              <w:t>В соответствии с  постановлени</w:t>
            </w:r>
            <w:r>
              <w:rPr>
                <w:rFonts w:ascii="Times New Roman" w:hAnsi="Times New Roman"/>
                <w:sz w:val="28"/>
                <w:szCs w:val="28"/>
                <w:lang w:val="ru-RU"/>
              </w:rPr>
              <w:t>ем</w:t>
            </w:r>
            <w:r>
              <w:rPr>
                <w:rFonts w:ascii="Times New Roman" w:hAnsi="Times New Roman"/>
                <w:sz w:val="28"/>
                <w:szCs w:val="28"/>
              </w:rPr>
              <w:t xml:space="preserve"> Правительства РК «Об утверждении Технического регламента «Общие требования к пожарной безопасности», запрещается нарушение огнезащитных покрытий. Обработанные  (пропитанные) в соответствии с требованиями нормативных документов деревянные конструкции по истечении сроков действия обработки (пропитки) и в случае потери огнезащитных свойств составов должны обрабатываться (пропитываться) повторно. </w:t>
            </w:r>
          </w:p>
          <w:p w14:paraId="2EEB9D55">
            <w:pPr>
              <w:pStyle w:val="5"/>
              <w:rPr>
                <w:rFonts w:ascii="Times New Roman" w:hAnsi="Times New Roman"/>
                <w:sz w:val="28"/>
                <w:szCs w:val="28"/>
              </w:rPr>
            </w:pPr>
            <w:r>
              <w:rPr>
                <w:rFonts w:ascii="Times New Roman" w:hAnsi="Times New Roman"/>
                <w:sz w:val="28"/>
                <w:szCs w:val="28"/>
              </w:rPr>
              <w:t xml:space="preserve">   Состояние огнезащитной обработки (пропитки) должно проверятся в сроки, указанные в технической документации огнезащитных составов, или не реже одного раза в год.</w:t>
            </w:r>
          </w:p>
        </w:tc>
        <w:tc>
          <w:tcPr>
            <w:tcW w:w="1277" w:type="dxa"/>
            <w:tcBorders>
              <w:top w:val="single" w:color="auto" w:sz="4" w:space="0"/>
              <w:left w:val="single" w:color="auto" w:sz="4" w:space="0"/>
              <w:bottom w:val="single" w:color="auto" w:sz="4" w:space="0"/>
              <w:right w:val="single" w:color="auto" w:sz="4" w:space="0"/>
            </w:tcBorders>
          </w:tcPr>
          <w:p w14:paraId="31C7320B">
            <w:pPr>
              <w:pStyle w:val="5"/>
              <w:rPr>
                <w:rFonts w:ascii="Times New Roman" w:hAnsi="Times New Roman"/>
                <w:sz w:val="28"/>
                <w:szCs w:val="28"/>
              </w:rPr>
            </w:pPr>
            <w:r>
              <w:rPr>
                <w:rFonts w:ascii="Times New Roman" w:hAnsi="Times New Roman"/>
                <w:sz w:val="28"/>
                <w:szCs w:val="28"/>
              </w:rPr>
              <w:t>1 услуга</w:t>
            </w:r>
          </w:p>
        </w:tc>
        <w:tc>
          <w:tcPr>
            <w:tcW w:w="1277" w:type="dxa"/>
            <w:tcBorders>
              <w:top w:val="single" w:color="auto" w:sz="4" w:space="0"/>
              <w:left w:val="single" w:color="auto" w:sz="4" w:space="0"/>
              <w:bottom w:val="single" w:color="auto" w:sz="4" w:space="0"/>
              <w:right w:val="single" w:color="auto" w:sz="4" w:space="0"/>
            </w:tcBorders>
          </w:tcPr>
          <w:p w14:paraId="1D134381">
            <w:pPr>
              <w:pStyle w:val="5"/>
              <w:rPr>
                <w:rFonts w:ascii="Times New Roman" w:hAnsi="Times New Roman"/>
                <w:sz w:val="28"/>
                <w:szCs w:val="28"/>
                <w:lang w:val="en-US"/>
              </w:rPr>
            </w:pPr>
            <w:r>
              <w:rPr>
                <w:rFonts w:ascii="Times New Roman" w:hAnsi="Times New Roman"/>
                <w:sz w:val="28"/>
                <w:szCs w:val="28"/>
                <w:lang w:val="en-US"/>
              </w:rPr>
              <w:t>1</w:t>
            </w:r>
          </w:p>
        </w:tc>
      </w:tr>
      <w:tr w14:paraId="1056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4DAB5E17">
            <w:pPr>
              <w:pStyle w:val="5"/>
              <w:rPr>
                <w:rFonts w:hint="default" w:ascii="Times New Roman" w:hAnsi="Times New Roman"/>
                <w:sz w:val="28"/>
                <w:szCs w:val="28"/>
                <w:lang w:val="kk-KZ"/>
              </w:rPr>
            </w:pPr>
            <w:r>
              <w:rPr>
                <w:rFonts w:hint="default" w:ascii="Times New Roman" w:hAnsi="Times New Roman"/>
                <w:sz w:val="28"/>
                <w:szCs w:val="28"/>
                <w:lang w:val="kk-KZ"/>
              </w:rPr>
              <w:t>2</w:t>
            </w:r>
          </w:p>
        </w:tc>
        <w:tc>
          <w:tcPr>
            <w:tcW w:w="6380" w:type="dxa"/>
            <w:tcBorders>
              <w:top w:val="single" w:color="auto" w:sz="4" w:space="0"/>
              <w:left w:val="single" w:color="auto" w:sz="4" w:space="0"/>
              <w:bottom w:val="single" w:color="auto" w:sz="4" w:space="0"/>
              <w:right w:val="single" w:color="auto" w:sz="4" w:space="0"/>
            </w:tcBorders>
          </w:tcPr>
          <w:p w14:paraId="2A621E4B">
            <w:pPr>
              <w:pStyle w:val="5"/>
              <w:rPr>
                <w:rFonts w:ascii="Times New Roman" w:hAnsi="Times New Roman"/>
                <w:sz w:val="28"/>
                <w:szCs w:val="28"/>
              </w:rPr>
            </w:pPr>
            <w:r>
              <w:rPr>
                <w:rFonts w:ascii="Times New Roman" w:hAnsi="Times New Roman"/>
                <w:b/>
                <w:bCs/>
                <w:sz w:val="28"/>
                <w:szCs w:val="28"/>
              </w:rPr>
              <w:t>Требования</w:t>
            </w:r>
          </w:p>
        </w:tc>
        <w:tc>
          <w:tcPr>
            <w:tcW w:w="1277" w:type="dxa"/>
            <w:tcBorders>
              <w:top w:val="single" w:color="auto" w:sz="4" w:space="0"/>
              <w:left w:val="single" w:color="auto" w:sz="4" w:space="0"/>
              <w:bottom w:val="single" w:color="auto" w:sz="4" w:space="0"/>
              <w:right w:val="single" w:color="auto" w:sz="4" w:space="0"/>
            </w:tcBorders>
          </w:tcPr>
          <w:p w14:paraId="3B17D750">
            <w:pPr>
              <w:pStyle w:val="5"/>
              <w:rPr>
                <w:rFonts w:ascii="Times New Roman" w:hAnsi="Times New Roman"/>
                <w:sz w:val="28"/>
                <w:szCs w:val="28"/>
              </w:rPr>
            </w:pPr>
          </w:p>
        </w:tc>
        <w:tc>
          <w:tcPr>
            <w:tcW w:w="1277" w:type="dxa"/>
            <w:tcBorders>
              <w:top w:val="single" w:color="auto" w:sz="4" w:space="0"/>
              <w:left w:val="single" w:color="auto" w:sz="4" w:space="0"/>
              <w:bottom w:val="single" w:color="auto" w:sz="4" w:space="0"/>
              <w:right w:val="single" w:color="auto" w:sz="4" w:space="0"/>
            </w:tcBorders>
          </w:tcPr>
          <w:p w14:paraId="41E44DDA">
            <w:pPr>
              <w:pStyle w:val="5"/>
              <w:rPr>
                <w:rFonts w:ascii="Times New Roman" w:hAnsi="Times New Roman"/>
                <w:sz w:val="28"/>
                <w:szCs w:val="28"/>
              </w:rPr>
            </w:pPr>
          </w:p>
        </w:tc>
      </w:tr>
      <w:tr w14:paraId="4E9C8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66EA0BDA">
            <w:pPr>
              <w:pStyle w:val="5"/>
              <w:rPr>
                <w:rFonts w:ascii="Times New Roman" w:hAnsi="Times New Roman"/>
                <w:sz w:val="28"/>
                <w:szCs w:val="28"/>
              </w:rPr>
            </w:pPr>
          </w:p>
        </w:tc>
        <w:tc>
          <w:tcPr>
            <w:tcW w:w="6380" w:type="dxa"/>
            <w:tcBorders>
              <w:top w:val="single" w:color="auto" w:sz="4" w:space="0"/>
              <w:left w:val="single" w:color="auto" w:sz="4" w:space="0"/>
              <w:bottom w:val="single" w:color="auto" w:sz="4" w:space="0"/>
              <w:right w:val="single" w:color="auto" w:sz="4" w:space="0"/>
            </w:tcBorders>
          </w:tcPr>
          <w:p w14:paraId="4411F7E6">
            <w:pPr>
              <w:pStyle w:val="5"/>
              <w:rPr>
                <w:rFonts w:ascii="Times New Roman" w:hAnsi="Times New Roman"/>
                <w:sz w:val="28"/>
                <w:szCs w:val="28"/>
              </w:rPr>
            </w:pPr>
            <w:r>
              <w:rPr>
                <w:rFonts w:ascii="Times New Roman" w:hAnsi="Times New Roman"/>
                <w:sz w:val="28"/>
                <w:szCs w:val="28"/>
              </w:rPr>
              <w:t>1.При выполнении огнезащитной обработки руководствоваться действующими СНиП, ГОСТ и ТУ указанных в перечне нормативных документов, действующих на территории Республики Казахстан.</w:t>
            </w:r>
          </w:p>
          <w:p w14:paraId="43BFC3CE">
            <w:pPr>
              <w:pStyle w:val="5"/>
              <w:rPr>
                <w:rFonts w:ascii="Times New Roman" w:hAnsi="Times New Roman"/>
                <w:sz w:val="28"/>
                <w:szCs w:val="28"/>
              </w:rPr>
            </w:pPr>
            <w:r>
              <w:rPr>
                <w:rFonts w:ascii="Times New Roman" w:hAnsi="Times New Roman"/>
                <w:sz w:val="28"/>
                <w:szCs w:val="28"/>
              </w:rPr>
              <w:t>2.Поставщик работ обязан предоставить копию лицензии (разрешительный документ на право проведения огнезащитной обработки).</w:t>
            </w:r>
          </w:p>
          <w:p w14:paraId="496E4125">
            <w:pPr>
              <w:pStyle w:val="5"/>
              <w:rPr>
                <w:rFonts w:ascii="Times New Roman" w:hAnsi="Times New Roman"/>
                <w:sz w:val="28"/>
                <w:szCs w:val="28"/>
              </w:rPr>
            </w:pPr>
            <w:r>
              <w:rPr>
                <w:rFonts w:ascii="Times New Roman" w:hAnsi="Times New Roman"/>
                <w:sz w:val="28"/>
                <w:szCs w:val="28"/>
              </w:rPr>
              <w:t xml:space="preserve"> 3.Предоставить Заказчику на утверждение график производства работ.</w:t>
            </w:r>
          </w:p>
          <w:p w14:paraId="35FD3A9C">
            <w:pPr>
              <w:pStyle w:val="5"/>
              <w:rPr>
                <w:rFonts w:ascii="Times New Roman" w:hAnsi="Times New Roman"/>
                <w:sz w:val="28"/>
                <w:szCs w:val="28"/>
              </w:rPr>
            </w:pPr>
            <w:r>
              <w:rPr>
                <w:rFonts w:hint="default" w:ascii="Times New Roman" w:hAnsi="Times New Roman"/>
                <w:sz w:val="28"/>
                <w:szCs w:val="28"/>
                <w:lang w:val="kk-KZ"/>
              </w:rPr>
              <w:t>4</w:t>
            </w:r>
            <w:r>
              <w:rPr>
                <w:rFonts w:ascii="Times New Roman" w:hAnsi="Times New Roman"/>
                <w:sz w:val="28"/>
                <w:szCs w:val="28"/>
              </w:rPr>
              <w:t>.Поставщик работ несёт ответственность за весь риск, который связан с убытками или нанесением ущерба имуществу Заказчика.</w:t>
            </w:r>
          </w:p>
          <w:p w14:paraId="05B3D290">
            <w:pPr>
              <w:pStyle w:val="5"/>
              <w:rPr>
                <w:rFonts w:ascii="Times New Roman" w:hAnsi="Times New Roman"/>
                <w:sz w:val="28"/>
                <w:szCs w:val="28"/>
              </w:rPr>
            </w:pPr>
            <w:r>
              <w:rPr>
                <w:rFonts w:hint="default" w:ascii="Times New Roman" w:hAnsi="Times New Roman"/>
                <w:sz w:val="28"/>
                <w:szCs w:val="28"/>
                <w:lang w:val="kk-KZ"/>
              </w:rPr>
              <w:t>5</w:t>
            </w:r>
            <w:r>
              <w:rPr>
                <w:rFonts w:ascii="Times New Roman" w:hAnsi="Times New Roman"/>
                <w:sz w:val="28"/>
                <w:szCs w:val="28"/>
              </w:rPr>
              <w:t>.Гарантийный срок 3 год.</w:t>
            </w:r>
          </w:p>
          <w:p w14:paraId="3362A6F1">
            <w:pPr>
              <w:pStyle w:val="5"/>
              <w:rPr>
                <w:rFonts w:ascii="Times New Roman" w:hAnsi="Times New Roman"/>
                <w:sz w:val="28"/>
                <w:szCs w:val="28"/>
              </w:rPr>
            </w:pPr>
            <w:r>
              <w:rPr>
                <w:rFonts w:hint="default" w:ascii="Times New Roman" w:hAnsi="Times New Roman"/>
                <w:sz w:val="28"/>
                <w:szCs w:val="28"/>
                <w:lang w:val="kk-KZ"/>
              </w:rPr>
              <w:t>6</w:t>
            </w:r>
            <w:r>
              <w:rPr>
                <w:rFonts w:ascii="Times New Roman" w:hAnsi="Times New Roman"/>
                <w:sz w:val="28"/>
                <w:szCs w:val="28"/>
              </w:rPr>
              <w:t>.Поставщик работ полностью отвечает за ТБ при производстве работ, на объекте.</w:t>
            </w:r>
          </w:p>
          <w:p w14:paraId="39CE493E">
            <w:pPr>
              <w:pStyle w:val="5"/>
              <w:rPr>
                <w:rFonts w:ascii="Times New Roman" w:hAnsi="Times New Roman"/>
                <w:sz w:val="28"/>
                <w:szCs w:val="28"/>
              </w:rPr>
            </w:pPr>
            <w:r>
              <w:rPr>
                <w:rFonts w:hint="default" w:ascii="Times New Roman" w:hAnsi="Times New Roman"/>
                <w:sz w:val="28"/>
                <w:szCs w:val="28"/>
                <w:lang w:val="kk-KZ"/>
              </w:rPr>
              <w:t>7</w:t>
            </w:r>
            <w:r>
              <w:rPr>
                <w:rFonts w:ascii="Times New Roman" w:hAnsi="Times New Roman"/>
                <w:sz w:val="28"/>
                <w:szCs w:val="28"/>
              </w:rPr>
              <w:t>.В нормативный срок обязан подписать договор на производство работ.</w:t>
            </w:r>
          </w:p>
          <w:p w14:paraId="23C16E1C">
            <w:pPr>
              <w:pStyle w:val="5"/>
              <w:rPr>
                <w:rFonts w:ascii="Times New Roman" w:hAnsi="Times New Roman"/>
                <w:sz w:val="28"/>
                <w:szCs w:val="28"/>
              </w:rPr>
            </w:pPr>
            <w:r>
              <w:rPr>
                <w:rFonts w:hint="default" w:ascii="Times New Roman" w:hAnsi="Times New Roman"/>
                <w:sz w:val="28"/>
                <w:szCs w:val="28"/>
                <w:lang w:val="kk-KZ"/>
              </w:rPr>
              <w:t>8</w:t>
            </w:r>
            <w:r>
              <w:rPr>
                <w:rFonts w:ascii="Times New Roman" w:hAnsi="Times New Roman"/>
                <w:sz w:val="28"/>
                <w:szCs w:val="28"/>
              </w:rPr>
              <w:t>.Поставщик работ несёт полную ответственность за качественное производство работ.</w:t>
            </w:r>
          </w:p>
          <w:p w14:paraId="6585ECD2">
            <w:pPr>
              <w:pStyle w:val="5"/>
              <w:rPr>
                <w:rFonts w:ascii="Times New Roman" w:hAnsi="Times New Roman"/>
                <w:sz w:val="28"/>
                <w:szCs w:val="28"/>
              </w:rPr>
            </w:pPr>
            <w:r>
              <w:rPr>
                <w:rFonts w:hint="default" w:ascii="Times New Roman" w:hAnsi="Times New Roman"/>
                <w:sz w:val="28"/>
                <w:szCs w:val="28"/>
                <w:lang w:val="kk-KZ"/>
              </w:rPr>
              <w:t>9</w:t>
            </w:r>
            <w:r>
              <w:rPr>
                <w:rFonts w:ascii="Times New Roman" w:hAnsi="Times New Roman"/>
                <w:sz w:val="28"/>
                <w:szCs w:val="28"/>
              </w:rPr>
              <w:t>.При некачественном производстве работ устраняет брак за свой счёт.</w:t>
            </w:r>
          </w:p>
          <w:p w14:paraId="1BB2BB24">
            <w:pPr>
              <w:pStyle w:val="5"/>
              <w:rPr>
                <w:rFonts w:ascii="Times New Roman" w:hAnsi="Times New Roman"/>
                <w:sz w:val="28"/>
                <w:szCs w:val="28"/>
              </w:rPr>
            </w:pPr>
            <w:r>
              <w:rPr>
                <w:rFonts w:ascii="Times New Roman" w:hAnsi="Times New Roman"/>
                <w:sz w:val="28"/>
                <w:szCs w:val="28"/>
              </w:rPr>
              <w:t>1</w:t>
            </w:r>
            <w:r>
              <w:rPr>
                <w:rFonts w:hint="default" w:ascii="Times New Roman" w:hAnsi="Times New Roman"/>
                <w:sz w:val="28"/>
                <w:szCs w:val="28"/>
                <w:lang w:val="kk-KZ"/>
              </w:rPr>
              <w:t>0</w:t>
            </w:r>
            <w:r>
              <w:rPr>
                <w:rFonts w:ascii="Times New Roman" w:hAnsi="Times New Roman"/>
                <w:sz w:val="28"/>
                <w:szCs w:val="28"/>
              </w:rPr>
              <w:t xml:space="preserve">.Заказчик обязуется по окончанию производства работ принять выполненные работы к оплате и произвести окончательные расчёты, при обеспечении хорошего качества.  </w:t>
            </w:r>
          </w:p>
        </w:tc>
        <w:tc>
          <w:tcPr>
            <w:tcW w:w="1277" w:type="dxa"/>
            <w:tcBorders>
              <w:top w:val="single" w:color="auto" w:sz="4" w:space="0"/>
              <w:left w:val="single" w:color="auto" w:sz="4" w:space="0"/>
              <w:bottom w:val="single" w:color="auto" w:sz="4" w:space="0"/>
              <w:right w:val="single" w:color="auto" w:sz="4" w:space="0"/>
            </w:tcBorders>
          </w:tcPr>
          <w:p w14:paraId="0AAA9769">
            <w:pPr>
              <w:pStyle w:val="5"/>
              <w:rPr>
                <w:rFonts w:ascii="Times New Roman" w:hAnsi="Times New Roman"/>
                <w:sz w:val="28"/>
                <w:szCs w:val="28"/>
              </w:rPr>
            </w:pPr>
          </w:p>
        </w:tc>
        <w:tc>
          <w:tcPr>
            <w:tcW w:w="1277" w:type="dxa"/>
            <w:tcBorders>
              <w:top w:val="single" w:color="auto" w:sz="4" w:space="0"/>
              <w:left w:val="single" w:color="auto" w:sz="4" w:space="0"/>
              <w:bottom w:val="single" w:color="auto" w:sz="4" w:space="0"/>
              <w:right w:val="single" w:color="auto" w:sz="4" w:space="0"/>
            </w:tcBorders>
          </w:tcPr>
          <w:p w14:paraId="3FA06058">
            <w:pPr>
              <w:pStyle w:val="5"/>
              <w:rPr>
                <w:rFonts w:ascii="Times New Roman" w:hAnsi="Times New Roman"/>
                <w:sz w:val="28"/>
                <w:szCs w:val="28"/>
              </w:rPr>
            </w:pPr>
          </w:p>
        </w:tc>
      </w:tr>
      <w:tr w14:paraId="6DAA9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2274F7E7">
            <w:pPr>
              <w:pStyle w:val="5"/>
              <w:rPr>
                <w:rFonts w:ascii="Times New Roman" w:hAnsi="Times New Roman"/>
                <w:sz w:val="28"/>
                <w:szCs w:val="28"/>
              </w:rPr>
            </w:pPr>
          </w:p>
        </w:tc>
        <w:tc>
          <w:tcPr>
            <w:tcW w:w="6380" w:type="dxa"/>
            <w:tcBorders>
              <w:top w:val="single" w:color="auto" w:sz="4" w:space="0"/>
              <w:left w:val="single" w:color="auto" w:sz="4" w:space="0"/>
              <w:bottom w:val="single" w:color="auto" w:sz="4" w:space="0"/>
              <w:right w:val="single" w:color="auto" w:sz="4" w:space="0"/>
            </w:tcBorders>
          </w:tcPr>
          <w:p w14:paraId="7504DBF7">
            <w:pPr>
              <w:pStyle w:val="5"/>
              <w:rPr>
                <w:rFonts w:ascii="Times New Roman" w:hAnsi="Times New Roman"/>
                <w:sz w:val="28"/>
                <w:szCs w:val="28"/>
              </w:rPr>
            </w:pPr>
            <w:r>
              <w:rPr>
                <w:rFonts w:ascii="Times New Roman" w:hAnsi="Times New Roman"/>
                <w:sz w:val="28"/>
                <w:szCs w:val="28"/>
              </w:rPr>
              <w:t>Срок выполнения работ  30 календарных дней</w:t>
            </w:r>
          </w:p>
        </w:tc>
        <w:tc>
          <w:tcPr>
            <w:tcW w:w="1277" w:type="dxa"/>
            <w:tcBorders>
              <w:top w:val="single" w:color="auto" w:sz="4" w:space="0"/>
              <w:left w:val="single" w:color="auto" w:sz="4" w:space="0"/>
              <w:bottom w:val="single" w:color="auto" w:sz="4" w:space="0"/>
              <w:right w:val="single" w:color="auto" w:sz="4" w:space="0"/>
            </w:tcBorders>
          </w:tcPr>
          <w:p w14:paraId="306EC0E9">
            <w:pPr>
              <w:pStyle w:val="5"/>
              <w:rPr>
                <w:rFonts w:ascii="Times New Roman" w:hAnsi="Times New Roman"/>
                <w:sz w:val="28"/>
                <w:szCs w:val="28"/>
              </w:rPr>
            </w:pPr>
          </w:p>
        </w:tc>
        <w:tc>
          <w:tcPr>
            <w:tcW w:w="1277" w:type="dxa"/>
            <w:tcBorders>
              <w:top w:val="single" w:color="auto" w:sz="4" w:space="0"/>
              <w:left w:val="single" w:color="auto" w:sz="4" w:space="0"/>
              <w:bottom w:val="single" w:color="auto" w:sz="4" w:space="0"/>
              <w:right w:val="single" w:color="auto" w:sz="4" w:space="0"/>
            </w:tcBorders>
          </w:tcPr>
          <w:p w14:paraId="4062F38B">
            <w:pPr>
              <w:pStyle w:val="5"/>
              <w:rPr>
                <w:rFonts w:ascii="Times New Roman" w:hAnsi="Times New Roman"/>
                <w:sz w:val="28"/>
                <w:szCs w:val="28"/>
              </w:rPr>
            </w:pPr>
          </w:p>
        </w:tc>
      </w:tr>
    </w:tbl>
    <w:p w14:paraId="76E37516">
      <w:pPr>
        <w:pStyle w:val="5"/>
        <w:rPr>
          <w:rFonts w:ascii="Times New Roman" w:hAnsi="Times New Roman"/>
          <w:sz w:val="28"/>
          <w:szCs w:val="28"/>
          <w:lang w:eastAsia="ru-RU"/>
        </w:rPr>
      </w:pPr>
    </w:p>
    <w:p w14:paraId="3B74FD5C"/>
    <w:p w14:paraId="47A83665"/>
    <w:p w14:paraId="12EE5108"/>
    <w:p w14:paraId="0E99592C"/>
    <w:p w14:paraId="7432CEEC"/>
    <w:p w14:paraId="52E9CBB6"/>
    <w:p w14:paraId="4DA7C235"/>
    <w:p w14:paraId="3A0922FD"/>
    <w:p w14:paraId="565BDD2E"/>
    <w:p w14:paraId="54171C13"/>
    <w:p w14:paraId="548A3AAE"/>
    <w:p w14:paraId="227F2A57"/>
    <w:p w14:paraId="1F4AA276"/>
    <w:p w14:paraId="6FD9776A"/>
    <w:p w14:paraId="25CCBC9E"/>
    <w:p w14:paraId="153BD6B5"/>
    <w:p w14:paraId="2C2E7B92"/>
    <w:p w14:paraId="4083FE07">
      <w:pPr>
        <w:ind w:firstLine="2941" w:firstLineChars="1050"/>
        <w:jc w:val="both"/>
        <w:rPr>
          <w:rFonts w:hint="default" w:ascii="Times New Roman" w:hAnsi="Times New Roman" w:cs="Times New Roman"/>
          <w:b/>
          <w:bCs/>
          <w:sz w:val="28"/>
          <w:szCs w:val="28"/>
        </w:rPr>
      </w:pPr>
      <w:r>
        <w:rPr>
          <w:rFonts w:hint="default" w:ascii="Times New Roman" w:hAnsi="Times New Roman" w:cs="Times New Roman"/>
          <w:b/>
          <w:bCs/>
          <w:sz w:val="28"/>
          <w:szCs w:val="28"/>
        </w:rPr>
        <w:t>Техникалық сипаттама</w:t>
      </w:r>
    </w:p>
    <w:p w14:paraId="58514A72">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Алматы облысының білім басқармасы мемлекеттік мекемесінің "Алматы облыстық сервис және тамақтану саласындағы инновациялық технологиялар колледжі" МЕМЛЕКЕТТІК КОММУНАЛДЫҚ ҚАЗЫНАЛЫҚ КӘСІПОРНЫ объектілерді өрттен қорғау өңдеуінің сапасын айқындау бойынша бақылау сынақтарының хаттамасын ұсына отырып және шатыр жабындарының конструкцияларын оттан қорғау құрамымен өңдеуді жүргізу жөніндегі қызметтерді орындау</w:t>
      </w:r>
    </w:p>
    <w:p w14:paraId="40C6A22E">
      <w:pPr>
        <w:jc w:val="center"/>
        <w:rPr>
          <w:rFonts w:hint="default" w:ascii="Times New Roman" w:hAnsi="Times New Roman" w:cs="Times New Roman"/>
          <w:b/>
          <w:bCs/>
          <w:sz w:val="28"/>
          <w:szCs w:val="28"/>
        </w:rPr>
      </w:pPr>
    </w:p>
    <w:p w14:paraId="4A9E8791">
      <w:pPr>
        <w:jc w:val="left"/>
        <w:rPr>
          <w:rFonts w:hint="default" w:ascii="Times New Roman" w:hAnsi="Times New Roman" w:cs="Times New Roman"/>
          <w:b/>
          <w:bCs/>
          <w:sz w:val="28"/>
          <w:szCs w:val="28"/>
        </w:rPr>
      </w:pPr>
      <w:r>
        <w:rPr>
          <w:rFonts w:hint="default" w:ascii="Times New Roman" w:hAnsi="Times New Roman" w:cs="Times New Roman"/>
          <w:b/>
          <w:bCs/>
          <w:sz w:val="28"/>
          <w:szCs w:val="28"/>
        </w:rPr>
        <w:t>Заңды мекенжайы: Алматы қ., Райымбек даңғылы, 480а</w:t>
      </w:r>
    </w:p>
    <w:p w14:paraId="3B364CD9">
      <w:pPr>
        <w:jc w:val="left"/>
        <w:rPr>
          <w:rFonts w:hint="default" w:ascii="Times New Roman" w:hAnsi="Times New Roman" w:cs="Times New Roman"/>
          <w:b/>
          <w:bCs/>
          <w:sz w:val="28"/>
          <w:szCs w:val="28"/>
        </w:rPr>
      </w:pPr>
      <w:r>
        <w:rPr>
          <w:rFonts w:hint="default" w:ascii="Times New Roman" w:hAnsi="Times New Roman" w:cs="Times New Roman"/>
          <w:b/>
          <w:bCs/>
          <w:sz w:val="28"/>
          <w:szCs w:val="28"/>
        </w:rPr>
        <w:t>Мемлекеттік сатып алу атауы: ағаш конструкцияларды өртке қарсы қоспамен өңдеу.</w:t>
      </w:r>
    </w:p>
    <w:p w14:paraId="03786636">
      <w:pPr>
        <w:jc w:val="left"/>
        <w:rPr>
          <w:rFonts w:hint="default" w:ascii="Times New Roman" w:hAnsi="Times New Roman" w:cs="Times New Roman"/>
          <w:b/>
          <w:bCs/>
          <w:sz w:val="28"/>
          <w:szCs w:val="28"/>
        </w:rPr>
      </w:pPr>
      <w:r>
        <w:rPr>
          <w:rFonts w:hint="default" w:ascii="Times New Roman" w:hAnsi="Times New Roman" w:cs="Times New Roman"/>
          <w:b/>
          <w:bCs/>
          <w:sz w:val="28"/>
          <w:szCs w:val="28"/>
        </w:rPr>
        <w:t>Ауданы 3500 ш. м</w:t>
      </w:r>
      <w:bookmarkStart w:id="0" w:name="_GoBack"/>
      <w:bookmarkEnd w:id="0"/>
    </w:p>
    <w:p w14:paraId="5319939A">
      <w:pPr>
        <w:rPr>
          <w:rFonts w:hint="default" w:ascii="Times New Roman" w:hAnsi="Times New Roman" w:cs="Times New Roman"/>
          <w:b/>
          <w:bCs/>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880"/>
        <w:gridCol w:w="6165"/>
        <w:gridCol w:w="1305"/>
        <w:gridCol w:w="1221"/>
      </w:tblGrid>
      <w:tr w14:paraId="25A68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843" w:hRule="atLeast"/>
        </w:trPr>
        <w:tc>
          <w:tcPr>
            <w:tcW w:w="880" w:type="dxa"/>
            <w:vAlign w:val="top"/>
          </w:tcPr>
          <w:p w14:paraId="52D3C610">
            <w:pPr>
              <w:pStyle w:val="5"/>
              <w:jc w:val="center"/>
              <w:rPr>
                <w:rFonts w:hint="default" w:ascii="Times New Roman" w:hAnsi="Times New Roman" w:cs="Times New Roman"/>
                <w:b/>
                <w:bCs/>
                <w:vertAlign w:val="baseline"/>
              </w:rPr>
            </w:pPr>
            <w:r>
              <w:rPr>
                <w:rFonts w:ascii="Times New Roman" w:hAnsi="Times New Roman"/>
                <w:b/>
                <w:sz w:val="28"/>
                <w:szCs w:val="28"/>
              </w:rPr>
              <w:t>№</w:t>
            </w:r>
          </w:p>
        </w:tc>
        <w:tc>
          <w:tcPr>
            <w:tcW w:w="6165" w:type="dxa"/>
            <w:vAlign w:val="top"/>
          </w:tcPr>
          <w:p w14:paraId="52FE2071">
            <w:pPr>
              <w:pStyle w:val="5"/>
              <w:jc w:val="center"/>
              <w:rPr>
                <w:rFonts w:hint="default" w:ascii="Times New Roman" w:hAnsi="Times New Roman" w:cs="Times New Roman"/>
                <w:b/>
                <w:bCs/>
                <w:vertAlign w:val="baseline"/>
                <w:lang w:val="kk-KZ"/>
              </w:rPr>
            </w:pPr>
            <w:r>
              <w:rPr>
                <w:rFonts w:ascii="Times New Roman" w:hAnsi="Times New Roman"/>
                <w:b/>
                <w:sz w:val="28"/>
                <w:szCs w:val="28"/>
                <w:lang w:val="kk-KZ"/>
              </w:rPr>
              <w:t>Іс</w:t>
            </w:r>
            <w:r>
              <w:rPr>
                <w:rFonts w:hint="default" w:ascii="Times New Roman" w:hAnsi="Times New Roman"/>
                <w:b/>
                <w:sz w:val="28"/>
                <w:szCs w:val="28"/>
                <w:lang w:val="kk-KZ"/>
              </w:rPr>
              <w:t>-шаралар атауы</w:t>
            </w:r>
          </w:p>
        </w:tc>
        <w:tc>
          <w:tcPr>
            <w:tcW w:w="1305" w:type="dxa"/>
            <w:vAlign w:val="top"/>
          </w:tcPr>
          <w:p w14:paraId="4CB9EB38">
            <w:pPr>
              <w:pStyle w:val="5"/>
              <w:jc w:val="center"/>
              <w:rPr>
                <w:rFonts w:hint="default" w:ascii="Times New Roman" w:hAnsi="Times New Roman" w:cs="Times New Roman"/>
                <w:b/>
                <w:bCs/>
                <w:vertAlign w:val="baseline"/>
                <w:lang w:val="kk-KZ"/>
              </w:rPr>
            </w:pPr>
            <w:r>
              <w:rPr>
                <w:rFonts w:hint="default" w:ascii="Times New Roman" w:hAnsi="Times New Roman" w:cs="Times New Roman"/>
                <w:b/>
                <w:bCs/>
                <w:vertAlign w:val="baseline"/>
                <w:lang w:val="kk-KZ"/>
              </w:rPr>
              <w:t>Өлшем.</w:t>
            </w:r>
          </w:p>
          <w:p w14:paraId="3E90575E">
            <w:pPr>
              <w:pStyle w:val="5"/>
              <w:jc w:val="center"/>
              <w:rPr>
                <w:rFonts w:hint="default" w:ascii="Times New Roman" w:hAnsi="Times New Roman" w:cs="Times New Roman"/>
                <w:b/>
                <w:bCs/>
                <w:vertAlign w:val="baseline"/>
                <w:lang w:val="kk-KZ"/>
              </w:rPr>
            </w:pPr>
            <w:r>
              <w:rPr>
                <w:rFonts w:hint="default" w:ascii="Times New Roman" w:hAnsi="Times New Roman" w:cs="Times New Roman"/>
                <w:b/>
                <w:bCs/>
                <w:vertAlign w:val="baseline"/>
                <w:lang w:val="kk-KZ"/>
              </w:rPr>
              <w:t>бірл</w:t>
            </w:r>
          </w:p>
        </w:tc>
        <w:tc>
          <w:tcPr>
            <w:tcW w:w="1221" w:type="dxa"/>
            <w:vAlign w:val="top"/>
          </w:tcPr>
          <w:p w14:paraId="2BEB3286">
            <w:pPr>
              <w:pStyle w:val="5"/>
              <w:jc w:val="center"/>
              <w:rPr>
                <w:rFonts w:hint="default" w:ascii="Times New Roman" w:hAnsi="Times New Roman" w:cs="Times New Roman"/>
                <w:b/>
                <w:bCs/>
                <w:vertAlign w:val="baseline"/>
                <w:lang w:val="kk-KZ"/>
              </w:rPr>
            </w:pPr>
            <w:r>
              <w:rPr>
                <w:rFonts w:ascii="Times New Roman" w:hAnsi="Times New Roman"/>
                <w:b/>
                <w:sz w:val="28"/>
                <w:szCs w:val="28"/>
                <w:lang w:val="kk-KZ"/>
              </w:rPr>
              <w:t>Саны</w:t>
            </w:r>
          </w:p>
        </w:tc>
      </w:tr>
      <w:tr w14:paraId="464B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40" w:hRule="atLeast"/>
        </w:trPr>
        <w:tc>
          <w:tcPr>
            <w:tcW w:w="880" w:type="dxa"/>
          </w:tcPr>
          <w:p w14:paraId="43D0B008">
            <w:pPr>
              <w:rPr>
                <w:rFonts w:hint="default" w:ascii="Times New Roman" w:hAnsi="Times New Roman" w:cs="Times New Roman"/>
                <w:b/>
                <w:bCs/>
                <w:sz w:val="28"/>
                <w:szCs w:val="28"/>
                <w:vertAlign w:val="baseline"/>
                <w:lang w:val="kk-KZ"/>
              </w:rPr>
            </w:pPr>
            <w:r>
              <w:rPr>
                <w:rFonts w:hint="default" w:ascii="Times New Roman" w:hAnsi="Times New Roman" w:cs="Times New Roman"/>
                <w:b/>
                <w:bCs/>
                <w:sz w:val="28"/>
                <w:szCs w:val="28"/>
                <w:vertAlign w:val="baseline"/>
                <w:lang w:val="kk-KZ"/>
              </w:rPr>
              <w:t>1</w:t>
            </w:r>
          </w:p>
        </w:tc>
        <w:tc>
          <w:tcPr>
            <w:tcW w:w="6165" w:type="dxa"/>
          </w:tcPr>
          <w:p w14:paraId="1DEFF44D">
            <w:pPr>
              <w:rPr>
                <w:rFonts w:hint="default" w:ascii="Times New Roman" w:hAnsi="Times New Roman" w:cs="Times New Roman"/>
                <w:b w:val="0"/>
                <w:bCs w:val="0"/>
                <w:sz w:val="28"/>
                <w:szCs w:val="28"/>
                <w:vertAlign w:val="baseline"/>
                <w:lang w:val="ru-RU"/>
              </w:rPr>
            </w:pPr>
            <w:r>
              <w:rPr>
                <w:rFonts w:hint="default" w:ascii="Times New Roman" w:hAnsi="Times New Roman" w:cs="Times New Roman"/>
                <w:b w:val="0"/>
                <w:bCs w:val="0"/>
                <w:sz w:val="28"/>
                <w:szCs w:val="28"/>
                <w:vertAlign w:val="baseline"/>
                <w:lang w:val="ru-RU"/>
              </w:rPr>
              <w:t>Шатыр жабындарының конструкцияларын отқа төзімді өңдеуді жүргізу бойынша жұмыстарды орындау.</w:t>
            </w:r>
          </w:p>
          <w:p w14:paraId="06A799BD">
            <w:pPr>
              <w:rPr>
                <w:rFonts w:hint="default" w:ascii="Times New Roman" w:hAnsi="Times New Roman" w:cs="Times New Roman"/>
                <w:b w:val="0"/>
                <w:bCs w:val="0"/>
                <w:sz w:val="28"/>
                <w:szCs w:val="28"/>
                <w:vertAlign w:val="baseline"/>
                <w:lang w:val="ru-RU"/>
              </w:rPr>
            </w:pPr>
            <w:r>
              <w:rPr>
                <w:rFonts w:hint="default" w:ascii="Times New Roman" w:hAnsi="Times New Roman" w:cs="Times New Roman"/>
                <w:b w:val="0"/>
                <w:bCs w:val="0"/>
                <w:sz w:val="28"/>
                <w:szCs w:val="28"/>
                <w:vertAlign w:val="baseline"/>
                <w:lang w:val="ru-RU"/>
              </w:rPr>
              <w:t>"Өрт қауіпсіздігіне қойылатын жалпы талаптар" техникалық регламентін бекіту туралы " ҚР Үкіметінің қаулысына сәйкес оттан қорғау жабындарын бұзуға тыйым салынады. Нормативтік құжаттардың талаптарына сәйкес өңделген (сіңдірілген) ағаш конструкциялар өңдеу (сіңдіру) қолданылу мерзімі өткеннен кейін және құрамдардың отқа төзімді қасиеттері жоғалған жағдайда қайта өңделуі (сіңдірілуі) тиіс.Отқа төзімді өңдеудің (сіңдірудің) жай-күйі отқа төзімді құрамдардың техникалық құжаттамасында көрсетілген мерзімдерде немесе жылына кемінде бір рет тексерілуге тиіс.</w:t>
            </w:r>
          </w:p>
        </w:tc>
        <w:tc>
          <w:tcPr>
            <w:tcW w:w="1305" w:type="dxa"/>
          </w:tcPr>
          <w:p w14:paraId="4449C0AB">
            <w:pPr>
              <w:rPr>
                <w:rFonts w:hint="default" w:ascii="Times New Roman" w:hAnsi="Times New Roman" w:cs="Times New Roman"/>
                <w:b w:val="0"/>
                <w:bCs w:val="0"/>
                <w:sz w:val="28"/>
                <w:szCs w:val="28"/>
                <w:vertAlign w:val="baseline"/>
                <w:lang w:val="ru-RU"/>
              </w:rPr>
            </w:pPr>
          </w:p>
        </w:tc>
        <w:tc>
          <w:tcPr>
            <w:tcW w:w="1221" w:type="dxa"/>
          </w:tcPr>
          <w:p w14:paraId="1407344C">
            <w:pPr>
              <w:rPr>
                <w:rFonts w:hint="default" w:ascii="Times New Roman" w:hAnsi="Times New Roman" w:cs="Times New Roman"/>
                <w:b w:val="0"/>
                <w:bCs w:val="0"/>
                <w:sz w:val="28"/>
                <w:szCs w:val="28"/>
                <w:vertAlign w:val="baseline"/>
                <w:lang w:val="ru-RU"/>
              </w:rPr>
            </w:pPr>
          </w:p>
        </w:tc>
      </w:tr>
      <w:tr w14:paraId="389FD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0" w:type="dxa"/>
          </w:tcPr>
          <w:p w14:paraId="38EACAB3">
            <w:pPr>
              <w:rPr>
                <w:rFonts w:hint="default" w:ascii="Times New Roman" w:hAnsi="Times New Roman" w:cs="Times New Roman"/>
                <w:b/>
                <w:bCs/>
                <w:sz w:val="28"/>
                <w:szCs w:val="28"/>
                <w:vertAlign w:val="baseline"/>
                <w:lang w:val="kk-KZ"/>
              </w:rPr>
            </w:pPr>
            <w:r>
              <w:rPr>
                <w:rFonts w:hint="default" w:ascii="Times New Roman" w:hAnsi="Times New Roman" w:cs="Times New Roman"/>
                <w:b/>
                <w:bCs/>
                <w:sz w:val="28"/>
                <w:szCs w:val="28"/>
                <w:vertAlign w:val="baseline"/>
                <w:lang w:val="kk-KZ"/>
              </w:rPr>
              <w:t>2</w:t>
            </w:r>
          </w:p>
        </w:tc>
        <w:tc>
          <w:tcPr>
            <w:tcW w:w="6165" w:type="dxa"/>
          </w:tcPr>
          <w:p w14:paraId="601B29AC">
            <w:pPr>
              <w:rPr>
                <w:rFonts w:hint="default" w:ascii="Times New Roman" w:hAnsi="Times New Roman" w:cs="Times New Roman"/>
                <w:b w:val="0"/>
                <w:bCs w:val="0"/>
                <w:sz w:val="28"/>
                <w:szCs w:val="28"/>
                <w:vertAlign w:val="baseline"/>
              </w:rPr>
            </w:pPr>
            <w:r>
              <w:rPr>
                <w:rFonts w:hint="default" w:ascii="Times New Roman" w:hAnsi="Times New Roman" w:cs="Times New Roman"/>
                <w:b/>
                <w:bCs/>
                <w:sz w:val="28"/>
                <w:szCs w:val="28"/>
                <w:vertAlign w:val="baseline"/>
              </w:rPr>
              <w:t>Талаптар</w:t>
            </w:r>
          </w:p>
        </w:tc>
        <w:tc>
          <w:tcPr>
            <w:tcW w:w="1305" w:type="dxa"/>
          </w:tcPr>
          <w:p w14:paraId="7D13D675">
            <w:pPr>
              <w:rPr>
                <w:rFonts w:hint="default" w:ascii="Times New Roman" w:hAnsi="Times New Roman" w:cs="Times New Roman"/>
                <w:b w:val="0"/>
                <w:bCs w:val="0"/>
                <w:sz w:val="28"/>
                <w:szCs w:val="28"/>
                <w:vertAlign w:val="baseline"/>
              </w:rPr>
            </w:pPr>
          </w:p>
        </w:tc>
        <w:tc>
          <w:tcPr>
            <w:tcW w:w="1221" w:type="dxa"/>
          </w:tcPr>
          <w:p w14:paraId="53E0A402">
            <w:pPr>
              <w:rPr>
                <w:rFonts w:hint="default" w:ascii="Times New Roman" w:hAnsi="Times New Roman" w:cs="Times New Roman"/>
                <w:b w:val="0"/>
                <w:bCs w:val="0"/>
                <w:sz w:val="28"/>
                <w:szCs w:val="28"/>
                <w:vertAlign w:val="baseline"/>
              </w:rPr>
            </w:pPr>
          </w:p>
        </w:tc>
      </w:tr>
      <w:tr w14:paraId="08838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0" w:type="dxa"/>
          </w:tcPr>
          <w:p w14:paraId="187DF118">
            <w:pPr>
              <w:rPr>
                <w:rFonts w:hint="default" w:ascii="Times New Roman" w:hAnsi="Times New Roman" w:cs="Times New Roman"/>
                <w:b/>
                <w:bCs/>
                <w:sz w:val="28"/>
                <w:szCs w:val="28"/>
                <w:vertAlign w:val="baseline"/>
              </w:rPr>
            </w:pPr>
          </w:p>
        </w:tc>
        <w:tc>
          <w:tcPr>
            <w:tcW w:w="6165" w:type="dxa"/>
          </w:tcPr>
          <w:p w14:paraId="75632535">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Отқа төзімді өңдеуді орындау кезінде Қазақстан Республикасының аумағында қолданылатын нормативтік құжаттардың тізбесінде көрсетілген қолданыстағы санитарлық нормалар және ережелер, ГОСТ және ТЕ басшылыққа алынады.</w:t>
            </w:r>
          </w:p>
          <w:p w14:paraId="4052DC81">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Жұмыстарды жеткізуші лицензияның көшірмесін (оттан қорғау өңдеуін жүргізу құқығына рұқсат құжатын) беруге міндетті.</w:t>
            </w:r>
          </w:p>
          <w:p w14:paraId="2DD8C837">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Тапсырыс берушіге жұмыстарды жүргізу кестесін бекітуге ұсыну.</w:t>
            </w:r>
          </w:p>
          <w:p w14:paraId="67F3CF8E">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Жұмыстарды Жеткізуші Тапсырыс берушінің мүлкіне келтірілген залалмен немесе залалмен байланысты барлық тәуекел үшін жауап береді.</w:t>
            </w:r>
          </w:p>
          <w:p w14:paraId="2DC58ADA">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Кепілдік мерзімі-3 жыл.</w:t>
            </w:r>
          </w:p>
          <w:p w14:paraId="26ED0984">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Жұмыстарды жеткізуші объектідегі жұмыстарды жүргізу кезінде ЕҚ үшін толық жауап береді.</w:t>
            </w:r>
          </w:p>
          <w:p w14:paraId="2AD5087B">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Нормативтік мерзімде жұмыстарды жүргізуге арналған шартқа қол қоюға міндетті.</w:t>
            </w:r>
          </w:p>
          <w:p w14:paraId="07B1435F">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Жұмыстарды жеткізуші жұмыстардың сапалы өндірілуіне толық жауап береді.</w:t>
            </w:r>
          </w:p>
          <w:p w14:paraId="589AC59B">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Жұмыстың сапасыз жүргізілуімен келіспеушілікті өз есебінен жояды.</w:t>
            </w:r>
          </w:p>
          <w:p w14:paraId="434C10B7">
            <w:pPr>
              <w:numPr>
                <w:ilvl w:val="0"/>
                <w:numId w:val="1"/>
              </w:numPr>
              <w:rPr>
                <w:rFonts w:hint="default" w:ascii="Times New Roman" w:hAnsi="Times New Roman" w:cs="Times New Roman"/>
                <w:b w:val="0"/>
                <w:bCs w:val="0"/>
                <w:sz w:val="28"/>
                <w:szCs w:val="28"/>
                <w:vertAlign w:val="baseline"/>
                <w:lang w:val="kk-KZ"/>
              </w:rPr>
            </w:pPr>
            <w:r>
              <w:rPr>
                <w:rFonts w:hint="default" w:ascii="Times New Roman" w:hAnsi="Times New Roman" w:cs="Times New Roman"/>
                <w:b w:val="0"/>
                <w:bCs w:val="0"/>
                <w:sz w:val="28"/>
                <w:szCs w:val="28"/>
                <w:vertAlign w:val="baseline"/>
                <w:lang w:val="kk-KZ"/>
              </w:rPr>
              <w:t>Тапсырыс беруші жұмыстарды жүргізу аяқталғаннан кейін орындалған жұмыстарды төлеуге қабылдауға және жақсы сапаны қамтамасыз ете отырып, түпкілікті есептеулер жүргізуге міндеттенеді.</w:t>
            </w:r>
          </w:p>
          <w:p w14:paraId="58BEBF9D">
            <w:pPr>
              <w:numPr>
                <w:numId w:val="0"/>
              </w:numPr>
              <w:rPr>
                <w:rFonts w:hint="default" w:ascii="Times New Roman" w:hAnsi="Times New Roman" w:cs="Times New Roman"/>
                <w:b w:val="0"/>
                <w:bCs w:val="0"/>
                <w:sz w:val="28"/>
                <w:szCs w:val="28"/>
                <w:vertAlign w:val="baseline"/>
                <w:lang w:val="kk-KZ"/>
              </w:rPr>
            </w:pPr>
          </w:p>
        </w:tc>
        <w:tc>
          <w:tcPr>
            <w:tcW w:w="1305" w:type="dxa"/>
          </w:tcPr>
          <w:p w14:paraId="379DAA85">
            <w:pPr>
              <w:rPr>
                <w:rFonts w:hint="default" w:ascii="Times New Roman" w:hAnsi="Times New Roman" w:cs="Times New Roman"/>
                <w:b w:val="0"/>
                <w:bCs w:val="0"/>
                <w:sz w:val="28"/>
                <w:szCs w:val="28"/>
                <w:vertAlign w:val="baseline"/>
              </w:rPr>
            </w:pPr>
          </w:p>
        </w:tc>
        <w:tc>
          <w:tcPr>
            <w:tcW w:w="1221" w:type="dxa"/>
          </w:tcPr>
          <w:p w14:paraId="7D04AE22">
            <w:pPr>
              <w:rPr>
                <w:rFonts w:hint="default" w:ascii="Times New Roman" w:hAnsi="Times New Roman" w:cs="Times New Roman"/>
                <w:b w:val="0"/>
                <w:bCs w:val="0"/>
                <w:sz w:val="28"/>
                <w:szCs w:val="28"/>
                <w:vertAlign w:val="baseline"/>
              </w:rPr>
            </w:pPr>
          </w:p>
        </w:tc>
      </w:tr>
      <w:tr w14:paraId="25DD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80" w:type="dxa"/>
          </w:tcPr>
          <w:p w14:paraId="147639D3">
            <w:pPr>
              <w:rPr>
                <w:rFonts w:hint="default" w:ascii="Times New Roman" w:hAnsi="Times New Roman" w:cs="Times New Roman"/>
                <w:b/>
                <w:bCs/>
                <w:sz w:val="28"/>
                <w:szCs w:val="28"/>
                <w:vertAlign w:val="baseline"/>
              </w:rPr>
            </w:pPr>
          </w:p>
        </w:tc>
        <w:tc>
          <w:tcPr>
            <w:tcW w:w="6165" w:type="dxa"/>
          </w:tcPr>
          <w:p w14:paraId="3684239E">
            <w:pPr>
              <w:rPr>
                <w:rFonts w:hint="default" w:ascii="Times New Roman" w:hAnsi="Times New Roman" w:cs="Times New Roman"/>
                <w:b w:val="0"/>
                <w:bCs w:val="0"/>
                <w:sz w:val="28"/>
                <w:szCs w:val="28"/>
                <w:vertAlign w:val="baseline"/>
              </w:rPr>
            </w:pPr>
            <w:r>
              <w:rPr>
                <w:rFonts w:hint="default" w:ascii="Times New Roman" w:hAnsi="Times New Roman" w:cs="Times New Roman"/>
                <w:b w:val="0"/>
                <w:bCs w:val="0"/>
                <w:sz w:val="28"/>
                <w:szCs w:val="28"/>
                <w:vertAlign w:val="baseline"/>
              </w:rPr>
              <w:t>Жұмыстарды орындау мерзімі 30 күнтізбелік күн</w:t>
            </w:r>
          </w:p>
        </w:tc>
        <w:tc>
          <w:tcPr>
            <w:tcW w:w="1305" w:type="dxa"/>
          </w:tcPr>
          <w:p w14:paraId="15E86EB9">
            <w:pPr>
              <w:rPr>
                <w:rFonts w:hint="default" w:ascii="Times New Roman" w:hAnsi="Times New Roman" w:cs="Times New Roman"/>
                <w:b w:val="0"/>
                <w:bCs w:val="0"/>
                <w:sz w:val="28"/>
                <w:szCs w:val="28"/>
                <w:vertAlign w:val="baseline"/>
              </w:rPr>
            </w:pPr>
          </w:p>
        </w:tc>
        <w:tc>
          <w:tcPr>
            <w:tcW w:w="1221" w:type="dxa"/>
          </w:tcPr>
          <w:p w14:paraId="485FA792">
            <w:pPr>
              <w:rPr>
                <w:rFonts w:hint="default" w:ascii="Times New Roman" w:hAnsi="Times New Roman" w:cs="Times New Roman"/>
                <w:b w:val="0"/>
                <w:bCs w:val="0"/>
                <w:sz w:val="28"/>
                <w:szCs w:val="28"/>
                <w:vertAlign w:val="baseline"/>
              </w:rPr>
            </w:pPr>
          </w:p>
        </w:tc>
      </w:tr>
    </w:tbl>
    <w:p w14:paraId="67179028">
      <w:pPr>
        <w:rPr>
          <w:sz w:val="28"/>
          <w:szCs w:val="28"/>
        </w:rPr>
      </w:pPr>
    </w:p>
    <w:p w14:paraId="795055EB">
      <w:pPr>
        <w:rPr>
          <w:sz w:val="28"/>
          <w:szCs w:val="28"/>
        </w:rPr>
      </w:pPr>
    </w:p>
    <w:p w14:paraId="1C84E524"/>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0BB01C"/>
    <w:multiLevelType w:val="singleLevel"/>
    <w:tmpl w:val="1B0BB01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302"/>
    <w:rsid w:val="00005D74"/>
    <w:rsid w:val="00161A1D"/>
    <w:rsid w:val="0039783F"/>
    <w:rsid w:val="00415302"/>
    <w:rsid w:val="00AE4CF2"/>
    <w:rsid w:val="00BF68ED"/>
    <w:rsid w:val="55A1195F"/>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Calibri" w:hAnsi="Calibri" w:eastAsia="Calibri" w:cs="Times New Roman"/>
      <w:kern w:val="0"/>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0"/>
    <w:pPr>
      <w:spacing w:after="0" w:line="240" w:lineRule="auto"/>
    </w:pPr>
    <w:rPr>
      <w:rFonts w:ascii="Times New Roman" w:hAnsi="Times New Roman"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5">
    <w:name w:val="No Spacing"/>
    <w:qFormat/>
    <w:uiPriority w:val="1"/>
    <w:pPr>
      <w:spacing w:after="0" w:line="240" w:lineRule="auto"/>
    </w:pPr>
    <w:rPr>
      <w:rFonts w:ascii="Calibri" w:hAnsi="Calibri" w:eastAsia="Calibri" w:cs="Times New Roman"/>
      <w:kern w:val="0"/>
      <w:sz w:val="22"/>
      <w:szCs w:val="22"/>
      <w:lang w:val="ru-RU"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286</Words>
  <Characters>2110</Characters>
  <Lines>17</Lines>
  <Paragraphs>4</Paragraphs>
  <TotalTime>31</TotalTime>
  <ScaleCrop>false</ScaleCrop>
  <LinksUpToDate>false</LinksUpToDate>
  <CharactersWithSpaces>2373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2024-06-04T03:53:00Z</dcterms:created>
  <dc:creator>bakanas mektep</dc:creator>
  <cp:lastModifiedBy>AP K</cp:lastModifiedBy>
  <dcterms:modified xsi:type="dcterms:W3CDTF">2026-10-16T10:21:28Z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eyJoZGlkIjoiZjVjYzNjOGE5MDliYTcyZTAyNzg4Y2E1MzQwYTlhNmMiLCJ1c2VySWQiOiI1MzYwMTIxNzAxODMwIn0=</vt:lpwstr>
  </property>
  <property fmtid="{D5CDD505-2E9C-101B-9397-08002B2CF9AE}" pid="3" name="KSOProductBuildVer">
    <vt:lpwstr>1049-12.1.0.29162</vt:lpwstr>
  </property>
  <property fmtid="{D5CDD505-2E9C-101B-9397-08002B2CF9AE}" pid="4" name="ICV">
    <vt:lpwstr>3BB40850C6E14FC1B5C6CA89639A629A_13</vt:lpwstr>
  </property>
</Properties>
</file>